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7223D" w14:textId="77777777" w:rsidR="00131684" w:rsidRDefault="00131684" w:rsidP="00BC7315">
      <w:pPr>
        <w:rPr>
          <w:rFonts w:ascii="Tahoma" w:hAnsi="Tahoma"/>
        </w:rPr>
      </w:pPr>
      <w:bookmarkStart w:id="0" w:name="_GoBack"/>
      <w:bookmarkEnd w:id="0"/>
    </w:p>
    <w:p w14:paraId="3534269F" w14:textId="77777777" w:rsidR="00DC6FB8" w:rsidRPr="000456F9" w:rsidRDefault="00DC6FB8" w:rsidP="00BC7315">
      <w:pPr>
        <w:rPr>
          <w:rFonts w:ascii="Tahoma" w:hAnsi="Tahoma"/>
        </w:rPr>
      </w:pPr>
    </w:p>
    <w:p w14:paraId="06D95B3A" w14:textId="77777777" w:rsidR="00BC7315" w:rsidRPr="000456F9" w:rsidRDefault="00131684" w:rsidP="00BC7315">
      <w:pPr>
        <w:rPr>
          <w:rFonts w:ascii="Tahoma" w:hAnsi="Tahoma"/>
        </w:rPr>
      </w:pPr>
      <w:r w:rsidRPr="000456F9">
        <w:rPr>
          <w:noProof/>
        </w:rPr>
        <w:drawing>
          <wp:anchor distT="0" distB="0" distL="114300" distR="114300" simplePos="0" relativeHeight="251659264" behindDoc="0" locked="0" layoutInCell="1" allowOverlap="1" wp14:anchorId="31B1397C" wp14:editId="76F7181E">
            <wp:simplePos x="0" y="0"/>
            <wp:positionH relativeFrom="column">
              <wp:posOffset>1463040</wp:posOffset>
            </wp:positionH>
            <wp:positionV relativeFrom="paragraph">
              <wp:posOffset>140335</wp:posOffset>
            </wp:positionV>
            <wp:extent cx="3293745" cy="99060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H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3745" cy="990600"/>
                    </a:xfrm>
                    <a:prstGeom prst="rect">
                      <a:avLst/>
                    </a:prstGeom>
                  </pic:spPr>
                </pic:pic>
              </a:graphicData>
            </a:graphic>
            <wp14:sizeRelH relativeFrom="page">
              <wp14:pctWidth>0</wp14:pctWidth>
            </wp14:sizeRelH>
            <wp14:sizeRelV relativeFrom="page">
              <wp14:pctHeight>0</wp14:pctHeight>
            </wp14:sizeRelV>
          </wp:anchor>
        </w:drawing>
      </w:r>
    </w:p>
    <w:p w14:paraId="5B8D641C" w14:textId="77777777" w:rsidR="008D0456" w:rsidRPr="000456F9" w:rsidRDefault="008D0456" w:rsidP="00131684">
      <w:pPr>
        <w:pStyle w:val="BodyText"/>
        <w:spacing w:before="720"/>
        <w:rPr>
          <w:rFonts w:ascii="Times New Roman" w:hAnsi="Times New Roman"/>
          <w:sz w:val="24"/>
          <w:szCs w:val="24"/>
        </w:rPr>
      </w:pPr>
    </w:p>
    <w:p w14:paraId="5A466E2C" w14:textId="77777777" w:rsidR="008D0456" w:rsidRPr="000456F9" w:rsidRDefault="008D0456" w:rsidP="00AE4E3B">
      <w:pPr>
        <w:pStyle w:val="BodyText"/>
        <w:spacing w:before="480"/>
        <w:jc w:val="left"/>
        <w:rPr>
          <w:rFonts w:ascii="Times New Roman" w:hAnsi="Times New Roman"/>
          <w:sz w:val="24"/>
          <w:szCs w:val="24"/>
        </w:rPr>
      </w:pPr>
    </w:p>
    <w:p w14:paraId="5AFD6C51" w14:textId="70D6EB30" w:rsidR="00BC7315" w:rsidRPr="000456F9" w:rsidRDefault="00466336" w:rsidP="00A66CB1">
      <w:pPr>
        <w:pStyle w:val="BodyText"/>
        <w:spacing w:before="360"/>
        <w:rPr>
          <w:rFonts w:ascii="Times New Roman" w:hAnsi="Times New Roman"/>
          <w:sz w:val="24"/>
          <w:szCs w:val="24"/>
        </w:rPr>
      </w:pPr>
      <w:r>
        <w:rPr>
          <w:rFonts w:ascii="Times New Roman" w:hAnsi="Times New Roman"/>
          <w:sz w:val="24"/>
          <w:szCs w:val="24"/>
        </w:rPr>
        <w:t xml:space="preserve">TENNESSEE </w:t>
      </w:r>
      <w:r w:rsidR="00BC7315" w:rsidRPr="000456F9">
        <w:rPr>
          <w:rFonts w:ascii="Times New Roman" w:hAnsi="Times New Roman"/>
          <w:sz w:val="24"/>
          <w:szCs w:val="24"/>
        </w:rPr>
        <w:t>HOUSING TRUST</w:t>
      </w:r>
      <w:r w:rsidR="00131684" w:rsidRPr="000456F9">
        <w:rPr>
          <w:rFonts w:ascii="Times New Roman" w:hAnsi="Times New Roman"/>
          <w:sz w:val="24"/>
          <w:szCs w:val="24"/>
        </w:rPr>
        <w:t xml:space="preserve"> </w:t>
      </w:r>
      <w:r w:rsidR="00BC7315" w:rsidRPr="000456F9">
        <w:rPr>
          <w:rFonts w:ascii="Times New Roman" w:hAnsi="Times New Roman"/>
          <w:sz w:val="24"/>
          <w:szCs w:val="24"/>
        </w:rPr>
        <w:t>FUND</w:t>
      </w:r>
    </w:p>
    <w:p w14:paraId="4A5FA9FB" w14:textId="6561081E" w:rsidR="00BC7315" w:rsidRPr="000456F9" w:rsidRDefault="009358B1" w:rsidP="00BC7315">
      <w:pPr>
        <w:pStyle w:val="BodyText"/>
        <w:spacing w:before="120"/>
        <w:rPr>
          <w:rFonts w:ascii="Times New Roman" w:hAnsi="Times New Roman"/>
          <w:sz w:val="24"/>
          <w:szCs w:val="24"/>
        </w:rPr>
      </w:pPr>
      <w:r>
        <w:rPr>
          <w:rFonts w:ascii="Times New Roman" w:hAnsi="Times New Roman"/>
          <w:sz w:val="24"/>
          <w:szCs w:val="24"/>
        </w:rPr>
        <w:t>C</w:t>
      </w:r>
      <w:r w:rsidR="001E1E55">
        <w:rPr>
          <w:rFonts w:ascii="Times New Roman" w:hAnsi="Times New Roman"/>
          <w:sz w:val="24"/>
          <w:szCs w:val="24"/>
        </w:rPr>
        <w:t>REATING HOMES INITIATIVE-</w:t>
      </w:r>
      <w:r>
        <w:rPr>
          <w:rFonts w:ascii="Times New Roman" w:hAnsi="Times New Roman"/>
          <w:sz w:val="24"/>
          <w:szCs w:val="24"/>
        </w:rPr>
        <w:t>2 (CHI</w:t>
      </w:r>
      <w:r w:rsidR="004F2DE6">
        <w:rPr>
          <w:rFonts w:ascii="Times New Roman" w:hAnsi="Times New Roman"/>
          <w:sz w:val="24"/>
          <w:szCs w:val="24"/>
        </w:rPr>
        <w:t>-</w:t>
      </w:r>
      <w:r>
        <w:rPr>
          <w:rFonts w:ascii="Times New Roman" w:hAnsi="Times New Roman"/>
          <w:sz w:val="24"/>
          <w:szCs w:val="24"/>
        </w:rPr>
        <w:t xml:space="preserve">2) </w:t>
      </w:r>
      <w:r w:rsidR="007908FA">
        <w:rPr>
          <w:rFonts w:ascii="Times New Roman" w:hAnsi="Times New Roman"/>
          <w:sz w:val="24"/>
          <w:szCs w:val="24"/>
        </w:rPr>
        <w:t>PROGRAM</w:t>
      </w:r>
      <w:r w:rsidR="00BC7315" w:rsidRPr="000456F9">
        <w:rPr>
          <w:rFonts w:ascii="Times New Roman" w:hAnsi="Times New Roman"/>
          <w:sz w:val="24"/>
          <w:szCs w:val="24"/>
        </w:rPr>
        <w:t xml:space="preserve"> </w:t>
      </w:r>
    </w:p>
    <w:p w14:paraId="5308E6E3" w14:textId="6F013CCB" w:rsidR="00BC7315" w:rsidRPr="000456F9" w:rsidRDefault="00FC14B4" w:rsidP="00BC7315">
      <w:pPr>
        <w:spacing w:before="120"/>
        <w:jc w:val="center"/>
        <w:rPr>
          <w:b/>
          <w:sz w:val="24"/>
          <w:szCs w:val="24"/>
        </w:rPr>
      </w:pPr>
      <w:r>
        <w:rPr>
          <w:b/>
          <w:sz w:val="24"/>
          <w:szCs w:val="24"/>
        </w:rPr>
        <w:t xml:space="preserve">   </w:t>
      </w:r>
      <w:r w:rsidR="009358B1">
        <w:rPr>
          <w:b/>
          <w:sz w:val="24"/>
          <w:szCs w:val="24"/>
        </w:rPr>
        <w:t>PROGRAM DESCRIPTION</w:t>
      </w:r>
      <w:r w:rsidR="00BC7315" w:rsidRPr="000456F9">
        <w:rPr>
          <w:b/>
          <w:sz w:val="24"/>
          <w:szCs w:val="24"/>
        </w:rPr>
        <w:t xml:space="preserve"> </w:t>
      </w:r>
    </w:p>
    <w:p w14:paraId="0C71C5D1" w14:textId="77777777" w:rsidR="007A03D8" w:rsidRDefault="007A03D8" w:rsidP="007A03D8">
      <w:pPr>
        <w:pStyle w:val="BodyText2"/>
        <w:rPr>
          <w:szCs w:val="24"/>
        </w:rPr>
      </w:pPr>
    </w:p>
    <w:p w14:paraId="178E711A" w14:textId="6FE0F211" w:rsidR="00BC7315" w:rsidRDefault="003E6E72" w:rsidP="007A03D8">
      <w:pPr>
        <w:pStyle w:val="BodyText2"/>
        <w:rPr>
          <w:szCs w:val="24"/>
        </w:rPr>
      </w:pPr>
      <w:r>
        <w:rPr>
          <w:szCs w:val="24"/>
        </w:rPr>
        <w:t>In collaboration with the Tennessee Department of Mental Health and Substance Abuse Services (TDMHSAS), t</w:t>
      </w:r>
      <w:r w:rsidR="00BC7315" w:rsidRPr="000456F9">
        <w:rPr>
          <w:szCs w:val="24"/>
        </w:rPr>
        <w:t xml:space="preserve">he Tennessee Housing Development Agency (THDA) is seeking creative and innovative proposals </w:t>
      </w:r>
      <w:r w:rsidR="009358B1">
        <w:rPr>
          <w:szCs w:val="24"/>
        </w:rPr>
        <w:t xml:space="preserve">that expand permanent recovery housing options for individuals recovering from </w:t>
      </w:r>
      <w:r w:rsidR="00AE2956">
        <w:rPr>
          <w:szCs w:val="24"/>
        </w:rPr>
        <w:t xml:space="preserve">the </w:t>
      </w:r>
      <w:r w:rsidR="00B05A89" w:rsidRPr="00B05A89">
        <w:rPr>
          <w:szCs w:val="24"/>
        </w:rPr>
        <w:t>use of opioids or opioid derivatives</w:t>
      </w:r>
      <w:r w:rsidR="009358B1">
        <w:rPr>
          <w:szCs w:val="24"/>
        </w:rPr>
        <w:t xml:space="preserve">. </w:t>
      </w:r>
      <w:r w:rsidR="00BC7315" w:rsidRPr="000456F9">
        <w:rPr>
          <w:szCs w:val="24"/>
        </w:rPr>
        <w:t xml:space="preserve">The amount available is </w:t>
      </w:r>
      <w:r w:rsidR="009358B1">
        <w:rPr>
          <w:szCs w:val="24"/>
        </w:rPr>
        <w:t>$3.0</w:t>
      </w:r>
      <w:r w:rsidR="00DD69BF" w:rsidRPr="002E5CFB">
        <w:rPr>
          <w:szCs w:val="24"/>
        </w:rPr>
        <w:t xml:space="preserve"> </w:t>
      </w:r>
      <w:r w:rsidR="00BC7315" w:rsidRPr="002E5CFB">
        <w:rPr>
          <w:szCs w:val="24"/>
        </w:rPr>
        <w:t>million</w:t>
      </w:r>
      <w:r w:rsidR="004F2DE6">
        <w:rPr>
          <w:szCs w:val="24"/>
        </w:rPr>
        <w:t xml:space="preserve"> in Tennessee Housing Trust Fund (THTF) resources</w:t>
      </w:r>
      <w:r w:rsidR="00113FE5" w:rsidRPr="000456F9">
        <w:rPr>
          <w:szCs w:val="24"/>
        </w:rPr>
        <w:t>.</w:t>
      </w:r>
      <w:r w:rsidR="00BC7315" w:rsidRPr="000456F9">
        <w:rPr>
          <w:szCs w:val="24"/>
        </w:rPr>
        <w:t xml:space="preserve"> The purpose of this Program Description is to explain program requirements and the application process.</w:t>
      </w:r>
    </w:p>
    <w:p w14:paraId="33DA2B8C" w14:textId="7E70EB4D" w:rsidR="007A03D8" w:rsidRDefault="007A03D8" w:rsidP="007A03D8">
      <w:pPr>
        <w:spacing w:before="240"/>
        <w:jc w:val="both"/>
        <w:rPr>
          <w:sz w:val="24"/>
          <w:szCs w:val="24"/>
        </w:rPr>
      </w:pPr>
      <w:r>
        <w:rPr>
          <w:sz w:val="24"/>
          <w:szCs w:val="24"/>
        </w:rPr>
        <w:t xml:space="preserve">THDA will award </w:t>
      </w:r>
      <w:r w:rsidRPr="00BF7DB0">
        <w:rPr>
          <w:sz w:val="24"/>
          <w:szCs w:val="24"/>
        </w:rPr>
        <w:t xml:space="preserve">funds </w:t>
      </w:r>
      <w:r>
        <w:rPr>
          <w:sz w:val="24"/>
          <w:szCs w:val="24"/>
        </w:rPr>
        <w:t xml:space="preserve">under this program description </w:t>
      </w:r>
      <w:r w:rsidRPr="00BF7DB0">
        <w:rPr>
          <w:sz w:val="24"/>
          <w:szCs w:val="24"/>
        </w:rPr>
        <w:t xml:space="preserve">to successful </w:t>
      </w:r>
      <w:r w:rsidRPr="00E83472">
        <w:rPr>
          <w:sz w:val="24"/>
          <w:szCs w:val="24"/>
        </w:rPr>
        <w:t>App</w:t>
      </w:r>
      <w:r>
        <w:rPr>
          <w:sz w:val="24"/>
          <w:szCs w:val="24"/>
        </w:rPr>
        <w:t>licants as a grant.</w:t>
      </w:r>
      <w:r w:rsidRPr="007A03D8">
        <w:rPr>
          <w:sz w:val="24"/>
          <w:szCs w:val="24"/>
        </w:rPr>
        <w:t xml:space="preserve"> </w:t>
      </w:r>
      <w:r w:rsidRPr="000456F9">
        <w:rPr>
          <w:sz w:val="24"/>
          <w:szCs w:val="24"/>
        </w:rPr>
        <w:t xml:space="preserve">Proposals for funding are limited to a maximum of </w:t>
      </w:r>
      <w:r w:rsidRPr="007A03D8">
        <w:rPr>
          <w:sz w:val="24"/>
          <w:szCs w:val="24"/>
        </w:rPr>
        <w:t xml:space="preserve">$500,000. There is no minimum grant amount.  </w:t>
      </w:r>
    </w:p>
    <w:p w14:paraId="4E95B5BB" w14:textId="33AD602C" w:rsidR="00BC7315" w:rsidRPr="000456F9" w:rsidRDefault="00D07BE3" w:rsidP="007A03D8">
      <w:pPr>
        <w:spacing w:before="240"/>
        <w:jc w:val="both"/>
        <w:rPr>
          <w:sz w:val="24"/>
          <w:szCs w:val="24"/>
        </w:rPr>
      </w:pPr>
      <w:r>
        <w:rPr>
          <w:sz w:val="24"/>
          <w:szCs w:val="24"/>
        </w:rPr>
        <w:t>THDA must receive a</w:t>
      </w:r>
      <w:r w:rsidR="00BC7315" w:rsidRPr="000456F9">
        <w:rPr>
          <w:sz w:val="24"/>
          <w:szCs w:val="24"/>
        </w:rPr>
        <w:t xml:space="preserve">pplications </w:t>
      </w:r>
      <w:r w:rsidR="009358B1">
        <w:rPr>
          <w:sz w:val="24"/>
          <w:szCs w:val="24"/>
        </w:rPr>
        <w:t>under this Program Description</w:t>
      </w:r>
      <w:r w:rsidR="00BC7315" w:rsidRPr="000456F9">
        <w:rPr>
          <w:sz w:val="24"/>
          <w:szCs w:val="24"/>
        </w:rPr>
        <w:t xml:space="preserve"> on or before 4:</w:t>
      </w:r>
      <w:r w:rsidR="000D0534">
        <w:rPr>
          <w:sz w:val="24"/>
          <w:szCs w:val="24"/>
        </w:rPr>
        <w:t>0</w:t>
      </w:r>
      <w:r w:rsidR="000D0534" w:rsidRPr="000456F9">
        <w:rPr>
          <w:sz w:val="24"/>
          <w:szCs w:val="24"/>
        </w:rPr>
        <w:t xml:space="preserve">0 </w:t>
      </w:r>
      <w:r w:rsidR="00BC7315" w:rsidRPr="000456F9">
        <w:rPr>
          <w:sz w:val="24"/>
          <w:szCs w:val="24"/>
        </w:rPr>
        <w:t xml:space="preserve">PM </w:t>
      </w:r>
      <w:r w:rsidR="00F40723" w:rsidRPr="000456F9">
        <w:rPr>
          <w:sz w:val="24"/>
          <w:szCs w:val="24"/>
        </w:rPr>
        <w:t>C</w:t>
      </w:r>
      <w:r w:rsidR="00F40723">
        <w:rPr>
          <w:sz w:val="24"/>
          <w:szCs w:val="24"/>
        </w:rPr>
        <w:t>S</w:t>
      </w:r>
      <w:r w:rsidR="00F40723" w:rsidRPr="000456F9">
        <w:rPr>
          <w:sz w:val="24"/>
          <w:szCs w:val="24"/>
        </w:rPr>
        <w:t xml:space="preserve">T </w:t>
      </w:r>
      <w:r w:rsidR="00BC7315" w:rsidRPr="000456F9">
        <w:rPr>
          <w:sz w:val="24"/>
          <w:szCs w:val="24"/>
        </w:rPr>
        <w:t xml:space="preserve">on </w:t>
      </w:r>
      <w:r w:rsidR="000D6552" w:rsidRPr="000456F9">
        <w:rPr>
          <w:sz w:val="24"/>
          <w:szCs w:val="24"/>
        </w:rPr>
        <w:t>Thursday</w:t>
      </w:r>
      <w:r w:rsidR="00BC7315" w:rsidRPr="000456F9">
        <w:rPr>
          <w:sz w:val="24"/>
          <w:szCs w:val="24"/>
        </w:rPr>
        <w:t>,</w:t>
      </w:r>
      <w:r w:rsidR="00215940">
        <w:rPr>
          <w:sz w:val="24"/>
          <w:szCs w:val="24"/>
        </w:rPr>
        <w:t xml:space="preserve"> </w:t>
      </w:r>
      <w:r w:rsidR="00AE2956">
        <w:rPr>
          <w:sz w:val="24"/>
          <w:szCs w:val="24"/>
        </w:rPr>
        <w:t>February 13</w:t>
      </w:r>
      <w:r w:rsidR="00215940">
        <w:rPr>
          <w:sz w:val="24"/>
          <w:szCs w:val="24"/>
        </w:rPr>
        <w:t>,</w:t>
      </w:r>
      <w:r w:rsidR="00D11F6C">
        <w:rPr>
          <w:sz w:val="24"/>
          <w:szCs w:val="24"/>
        </w:rPr>
        <w:t xml:space="preserve"> </w:t>
      </w:r>
      <w:r w:rsidR="00E97E08">
        <w:rPr>
          <w:sz w:val="24"/>
          <w:szCs w:val="24"/>
        </w:rPr>
        <w:t>2020</w:t>
      </w:r>
      <w:r>
        <w:rPr>
          <w:sz w:val="24"/>
          <w:szCs w:val="24"/>
        </w:rPr>
        <w:t>.</w:t>
      </w:r>
      <w:r w:rsidR="00BC7315" w:rsidRPr="000456F9">
        <w:rPr>
          <w:sz w:val="24"/>
          <w:szCs w:val="24"/>
        </w:rPr>
        <w:t xml:space="preserve"> THDA anticipates notifying successful applicants by </w:t>
      </w:r>
      <w:r w:rsidR="00AE2956">
        <w:rPr>
          <w:sz w:val="24"/>
          <w:szCs w:val="24"/>
        </w:rPr>
        <w:t xml:space="preserve">April </w:t>
      </w:r>
      <w:r w:rsidR="007F6E11">
        <w:rPr>
          <w:sz w:val="24"/>
          <w:szCs w:val="24"/>
        </w:rPr>
        <w:t>1</w:t>
      </w:r>
      <w:r w:rsidR="00F21AB8">
        <w:rPr>
          <w:sz w:val="24"/>
          <w:szCs w:val="24"/>
        </w:rPr>
        <w:t>, 20</w:t>
      </w:r>
      <w:r w:rsidR="001D453E">
        <w:rPr>
          <w:sz w:val="24"/>
          <w:szCs w:val="24"/>
        </w:rPr>
        <w:t>20</w:t>
      </w:r>
      <w:r w:rsidR="00BC7315" w:rsidRPr="000456F9">
        <w:rPr>
          <w:sz w:val="24"/>
          <w:szCs w:val="24"/>
        </w:rPr>
        <w:t xml:space="preserve">. The </w:t>
      </w:r>
      <w:r w:rsidR="003D5911">
        <w:rPr>
          <w:sz w:val="24"/>
          <w:szCs w:val="24"/>
        </w:rPr>
        <w:t>CHI-2 g</w:t>
      </w:r>
      <w:r w:rsidR="00BC7315" w:rsidRPr="000456F9">
        <w:rPr>
          <w:sz w:val="24"/>
          <w:szCs w:val="24"/>
        </w:rPr>
        <w:t xml:space="preserve">rant contracts will begin </w:t>
      </w:r>
      <w:r w:rsidR="00AE2956">
        <w:rPr>
          <w:sz w:val="24"/>
          <w:szCs w:val="24"/>
        </w:rPr>
        <w:t>May</w:t>
      </w:r>
      <w:r w:rsidR="00AE2956" w:rsidRPr="000456F9">
        <w:rPr>
          <w:sz w:val="24"/>
          <w:szCs w:val="24"/>
        </w:rPr>
        <w:t xml:space="preserve"> </w:t>
      </w:r>
      <w:r w:rsidR="007F06B7" w:rsidRPr="000456F9">
        <w:rPr>
          <w:sz w:val="24"/>
          <w:szCs w:val="24"/>
        </w:rPr>
        <w:t xml:space="preserve">1, </w:t>
      </w:r>
      <w:r w:rsidR="007F6E11">
        <w:rPr>
          <w:sz w:val="24"/>
          <w:szCs w:val="24"/>
        </w:rPr>
        <w:t>2020</w:t>
      </w:r>
      <w:r w:rsidR="007F6E11" w:rsidRPr="000456F9">
        <w:rPr>
          <w:sz w:val="24"/>
          <w:szCs w:val="24"/>
        </w:rPr>
        <w:t xml:space="preserve"> </w:t>
      </w:r>
      <w:r w:rsidR="00BC7315" w:rsidRPr="000456F9">
        <w:rPr>
          <w:sz w:val="24"/>
          <w:szCs w:val="24"/>
        </w:rPr>
        <w:t>and will end</w:t>
      </w:r>
      <w:r w:rsidR="009B17BA" w:rsidRPr="000456F9">
        <w:rPr>
          <w:sz w:val="24"/>
          <w:szCs w:val="24"/>
        </w:rPr>
        <w:t xml:space="preserve"> </w:t>
      </w:r>
      <w:r w:rsidR="005B04F4">
        <w:rPr>
          <w:sz w:val="24"/>
          <w:szCs w:val="24"/>
        </w:rPr>
        <w:t xml:space="preserve">April </w:t>
      </w:r>
      <w:r w:rsidR="007F6E11">
        <w:rPr>
          <w:sz w:val="24"/>
          <w:szCs w:val="24"/>
        </w:rPr>
        <w:t>3</w:t>
      </w:r>
      <w:r w:rsidR="005B04F4">
        <w:rPr>
          <w:sz w:val="24"/>
          <w:szCs w:val="24"/>
        </w:rPr>
        <w:t>0</w:t>
      </w:r>
      <w:r w:rsidR="007F06B7" w:rsidRPr="000456F9">
        <w:rPr>
          <w:sz w:val="24"/>
          <w:szCs w:val="24"/>
        </w:rPr>
        <w:t>,</w:t>
      </w:r>
      <w:r w:rsidR="00DF52DE" w:rsidRPr="000456F9">
        <w:rPr>
          <w:sz w:val="24"/>
          <w:szCs w:val="24"/>
        </w:rPr>
        <w:t xml:space="preserve"> </w:t>
      </w:r>
      <w:r w:rsidR="00F21AB8">
        <w:rPr>
          <w:sz w:val="24"/>
          <w:szCs w:val="24"/>
        </w:rPr>
        <w:t>202</w:t>
      </w:r>
      <w:r w:rsidR="00E97E08">
        <w:rPr>
          <w:sz w:val="24"/>
          <w:szCs w:val="24"/>
        </w:rPr>
        <w:t>3</w:t>
      </w:r>
      <w:r w:rsidR="00BC7315" w:rsidRPr="000456F9">
        <w:rPr>
          <w:sz w:val="24"/>
          <w:szCs w:val="24"/>
        </w:rPr>
        <w:t>.</w:t>
      </w:r>
      <w:r w:rsidR="00ED4882">
        <w:rPr>
          <w:sz w:val="24"/>
          <w:szCs w:val="24"/>
        </w:rPr>
        <w:t xml:space="preserve"> </w:t>
      </w:r>
      <w:r w:rsidR="00DF52DE" w:rsidRPr="000456F9">
        <w:rPr>
          <w:sz w:val="24"/>
          <w:szCs w:val="24"/>
        </w:rPr>
        <w:t xml:space="preserve">Applicants should be aware that </w:t>
      </w:r>
      <w:r w:rsidR="00EA3B21">
        <w:rPr>
          <w:sz w:val="24"/>
          <w:szCs w:val="24"/>
        </w:rPr>
        <w:t>there is no cure period</w:t>
      </w:r>
      <w:r w:rsidR="00DF52DE" w:rsidRPr="000456F9">
        <w:rPr>
          <w:sz w:val="24"/>
          <w:szCs w:val="24"/>
        </w:rPr>
        <w:t xml:space="preserve">. Submission of a complete application is a threshold </w:t>
      </w:r>
      <w:r w:rsidR="00860490" w:rsidRPr="000456F9">
        <w:rPr>
          <w:sz w:val="24"/>
          <w:szCs w:val="24"/>
        </w:rPr>
        <w:t>criterion</w:t>
      </w:r>
      <w:r w:rsidR="00DF52DE" w:rsidRPr="000456F9">
        <w:rPr>
          <w:sz w:val="24"/>
          <w:szCs w:val="24"/>
        </w:rPr>
        <w:t>.</w:t>
      </w:r>
    </w:p>
    <w:p w14:paraId="40E352C4" w14:textId="6D60E489" w:rsidR="004F733C" w:rsidRPr="000456F9" w:rsidRDefault="00BC7315" w:rsidP="007A03D8">
      <w:pPr>
        <w:pStyle w:val="BodyText2"/>
        <w:tabs>
          <w:tab w:val="left" w:pos="8640"/>
          <w:tab w:val="left" w:pos="9630"/>
        </w:tabs>
        <w:rPr>
          <w:szCs w:val="24"/>
        </w:rPr>
      </w:pPr>
      <w:r w:rsidRPr="000456F9">
        <w:rPr>
          <w:szCs w:val="24"/>
        </w:rPr>
        <w:t xml:space="preserve">The </w:t>
      </w:r>
      <w:r w:rsidR="00424638" w:rsidRPr="000456F9">
        <w:rPr>
          <w:szCs w:val="24"/>
        </w:rPr>
        <w:t>P</w:t>
      </w:r>
      <w:r w:rsidRPr="000456F9">
        <w:rPr>
          <w:szCs w:val="24"/>
        </w:rPr>
        <w:t xml:space="preserve">rogram </w:t>
      </w:r>
      <w:r w:rsidR="00424638" w:rsidRPr="000456F9">
        <w:rPr>
          <w:szCs w:val="24"/>
        </w:rPr>
        <w:t>D</w:t>
      </w:r>
      <w:r w:rsidRPr="000456F9">
        <w:rPr>
          <w:szCs w:val="24"/>
        </w:rPr>
        <w:t>escription and</w:t>
      </w:r>
      <w:r w:rsidR="00954D83">
        <w:rPr>
          <w:szCs w:val="24"/>
        </w:rPr>
        <w:t xml:space="preserve"> the associated</w:t>
      </w:r>
      <w:r w:rsidRPr="000456F9">
        <w:rPr>
          <w:szCs w:val="24"/>
        </w:rPr>
        <w:t xml:space="preserve"> application </w:t>
      </w:r>
      <w:r w:rsidR="00424638" w:rsidRPr="000456F9">
        <w:rPr>
          <w:szCs w:val="24"/>
        </w:rPr>
        <w:t>are</w:t>
      </w:r>
      <w:r w:rsidRPr="000456F9">
        <w:rPr>
          <w:szCs w:val="24"/>
        </w:rPr>
        <w:t xml:space="preserve"> available at </w:t>
      </w:r>
      <w:hyperlink r:id="rId8" w:history="1">
        <w:r w:rsidRPr="000456F9">
          <w:rPr>
            <w:rStyle w:val="Hyperlink"/>
            <w:color w:val="auto"/>
            <w:szCs w:val="24"/>
          </w:rPr>
          <w:t>www.thda.org</w:t>
        </w:r>
      </w:hyperlink>
      <w:r w:rsidRPr="000456F9">
        <w:rPr>
          <w:szCs w:val="24"/>
        </w:rPr>
        <w:t xml:space="preserve">. At the THDA website, click on </w:t>
      </w:r>
      <w:r w:rsidR="007F06B7" w:rsidRPr="000456F9">
        <w:rPr>
          <w:szCs w:val="24"/>
        </w:rPr>
        <w:t xml:space="preserve">BUSINESS PARTNERS, then GRANT ADMINISTRATORS </w:t>
      </w:r>
      <w:r w:rsidRPr="000456F9">
        <w:rPr>
          <w:szCs w:val="24"/>
        </w:rPr>
        <w:t xml:space="preserve">for links to the </w:t>
      </w:r>
      <w:r w:rsidR="00954D83">
        <w:rPr>
          <w:szCs w:val="24"/>
        </w:rPr>
        <w:t xml:space="preserve">Creating Homes Initiative- </w:t>
      </w:r>
      <w:r w:rsidR="004F2DE6">
        <w:rPr>
          <w:szCs w:val="24"/>
        </w:rPr>
        <w:t xml:space="preserve">2 </w:t>
      </w:r>
      <w:r w:rsidR="00215940">
        <w:rPr>
          <w:szCs w:val="24"/>
        </w:rPr>
        <w:t>page</w:t>
      </w:r>
      <w:r w:rsidRPr="000456F9">
        <w:rPr>
          <w:szCs w:val="24"/>
        </w:rPr>
        <w:t>. If you have questions</w:t>
      </w:r>
      <w:r w:rsidR="004F2DE6">
        <w:rPr>
          <w:szCs w:val="24"/>
        </w:rPr>
        <w:t>,</w:t>
      </w:r>
      <w:r w:rsidRPr="000456F9">
        <w:rPr>
          <w:szCs w:val="24"/>
        </w:rPr>
        <w:t xml:space="preserve"> please call (615) 815-</w:t>
      </w:r>
      <w:r w:rsidR="00D37212">
        <w:rPr>
          <w:szCs w:val="24"/>
        </w:rPr>
        <w:t>2034</w:t>
      </w:r>
      <w:r w:rsidRPr="000456F9">
        <w:rPr>
          <w:szCs w:val="24"/>
        </w:rPr>
        <w:t xml:space="preserve">. </w:t>
      </w:r>
    </w:p>
    <w:p w14:paraId="68F3AB73" w14:textId="67053870" w:rsidR="004F733C" w:rsidRPr="004F733C" w:rsidRDefault="00CE44D7" w:rsidP="004F733C">
      <w:pPr>
        <w:pStyle w:val="ListParagraph"/>
        <w:numPr>
          <w:ilvl w:val="0"/>
          <w:numId w:val="31"/>
        </w:numPr>
        <w:tabs>
          <w:tab w:val="left" w:pos="360"/>
        </w:tabs>
        <w:spacing w:before="280"/>
        <w:ind w:left="360"/>
        <w:jc w:val="both"/>
        <w:rPr>
          <w:b/>
          <w:sz w:val="24"/>
          <w:szCs w:val="24"/>
        </w:rPr>
      </w:pPr>
      <w:r w:rsidRPr="004F733C">
        <w:rPr>
          <w:b/>
          <w:sz w:val="24"/>
          <w:szCs w:val="24"/>
        </w:rPr>
        <w:t xml:space="preserve">OPIOID USE DISORDER &amp; </w:t>
      </w:r>
      <w:r w:rsidR="00DA10DB" w:rsidRPr="004F733C">
        <w:rPr>
          <w:b/>
          <w:sz w:val="24"/>
          <w:szCs w:val="24"/>
        </w:rPr>
        <w:t>RECOVERY HOUSING</w:t>
      </w:r>
    </w:p>
    <w:p w14:paraId="642807F1" w14:textId="3E7E7650" w:rsidR="00CE44D7" w:rsidRPr="004F733C" w:rsidRDefault="00DA10DB" w:rsidP="004F733C">
      <w:pPr>
        <w:tabs>
          <w:tab w:val="left" w:pos="360"/>
        </w:tabs>
        <w:spacing w:before="280"/>
        <w:jc w:val="both"/>
        <w:rPr>
          <w:sz w:val="24"/>
          <w:szCs w:val="24"/>
        </w:rPr>
      </w:pPr>
      <w:r w:rsidRPr="004F733C">
        <w:rPr>
          <w:sz w:val="24"/>
          <w:szCs w:val="24"/>
        </w:rPr>
        <w:t xml:space="preserve">The CHI-2 Program Description is designed to expand permanent recovery housing options across Tennessee for individuals </w:t>
      </w:r>
      <w:r w:rsidR="00B05A89" w:rsidRPr="00B05A89">
        <w:rPr>
          <w:sz w:val="24"/>
          <w:szCs w:val="24"/>
        </w:rPr>
        <w:t xml:space="preserve">recovering from </w:t>
      </w:r>
      <w:r w:rsidR="00AE2956">
        <w:rPr>
          <w:sz w:val="24"/>
          <w:szCs w:val="24"/>
        </w:rPr>
        <w:t xml:space="preserve">the </w:t>
      </w:r>
      <w:r w:rsidR="00B05A89" w:rsidRPr="00B05A89">
        <w:rPr>
          <w:sz w:val="24"/>
          <w:szCs w:val="24"/>
        </w:rPr>
        <w:t>use of opioids or opioid derivatives</w:t>
      </w:r>
      <w:r w:rsidR="00CE44D7" w:rsidRPr="004F733C">
        <w:rPr>
          <w:sz w:val="24"/>
          <w:szCs w:val="24"/>
        </w:rPr>
        <w:t xml:space="preserve">, . </w:t>
      </w:r>
      <w:r w:rsidR="005C1B8A">
        <w:rPr>
          <w:sz w:val="24"/>
          <w:szCs w:val="24"/>
        </w:rPr>
        <w:t xml:space="preserve">For the purposes of CHI-2 and the CHI-2 Program Description, </w:t>
      </w:r>
      <w:r w:rsidR="005B04F4">
        <w:rPr>
          <w:sz w:val="24"/>
          <w:szCs w:val="24"/>
        </w:rPr>
        <w:t>use of opioids or opioid derivatives</w:t>
      </w:r>
      <w:r w:rsidR="005C1B8A">
        <w:rPr>
          <w:sz w:val="24"/>
          <w:szCs w:val="24"/>
        </w:rPr>
        <w:t xml:space="preserve"> </w:t>
      </w:r>
      <w:r w:rsidR="001458B0">
        <w:rPr>
          <w:sz w:val="24"/>
          <w:szCs w:val="24"/>
        </w:rPr>
        <w:t>may present in the form of one or more</w:t>
      </w:r>
      <w:r w:rsidR="002E5D4B">
        <w:rPr>
          <w:sz w:val="24"/>
          <w:szCs w:val="24"/>
        </w:rPr>
        <w:t xml:space="preserve"> </w:t>
      </w:r>
      <w:r w:rsidR="00CE44D7" w:rsidRPr="004F733C">
        <w:rPr>
          <w:sz w:val="24"/>
          <w:szCs w:val="24"/>
        </w:rPr>
        <w:t xml:space="preserve">of the following </w:t>
      </w:r>
      <w:r w:rsidR="003E0DB4">
        <w:rPr>
          <w:sz w:val="24"/>
          <w:szCs w:val="24"/>
        </w:rPr>
        <w:t>observations</w:t>
      </w:r>
      <w:r w:rsidR="00CE44D7" w:rsidRPr="004F733C">
        <w:rPr>
          <w:sz w:val="24"/>
          <w:szCs w:val="24"/>
        </w:rPr>
        <w:t>:</w:t>
      </w:r>
    </w:p>
    <w:p w14:paraId="6EC58250" w14:textId="37F60158"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 xml:space="preserve">Opioids </w:t>
      </w:r>
      <w:r w:rsidR="003E0DB4">
        <w:rPr>
          <w:color w:val="000000"/>
          <w:sz w:val="24"/>
          <w:szCs w:val="24"/>
        </w:rPr>
        <w:t xml:space="preserve">or opioid derivatives </w:t>
      </w:r>
      <w:r w:rsidRPr="00CE44D7">
        <w:rPr>
          <w:color w:val="000000"/>
          <w:sz w:val="24"/>
          <w:szCs w:val="24"/>
        </w:rPr>
        <w:t>are often taken in larger amounts or over a longer period than was intended.</w:t>
      </w:r>
    </w:p>
    <w:p w14:paraId="2A252822" w14:textId="739E5785"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lastRenderedPageBreak/>
        <w:t>There is a persistent desire or unsuccessful efforts to cut down or control opioid</w:t>
      </w:r>
      <w:r w:rsidR="003E0DB4">
        <w:rPr>
          <w:color w:val="000000"/>
          <w:sz w:val="24"/>
          <w:szCs w:val="24"/>
        </w:rPr>
        <w:t xml:space="preserve"> or opioid derivative</w:t>
      </w:r>
      <w:r w:rsidRPr="00CE44D7">
        <w:rPr>
          <w:color w:val="000000"/>
          <w:sz w:val="24"/>
          <w:szCs w:val="24"/>
        </w:rPr>
        <w:t xml:space="preserve"> use.</w:t>
      </w:r>
    </w:p>
    <w:p w14:paraId="6E815792" w14:textId="148DAA6A"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A great deal of time is spent in activities necessary to obtain the opioid</w:t>
      </w:r>
      <w:r w:rsidR="003E0DB4">
        <w:rPr>
          <w:color w:val="000000"/>
          <w:sz w:val="24"/>
          <w:szCs w:val="24"/>
        </w:rPr>
        <w:t xml:space="preserve"> or opioid derivative</w:t>
      </w:r>
      <w:r w:rsidRPr="00CE44D7">
        <w:rPr>
          <w:color w:val="000000"/>
          <w:sz w:val="24"/>
          <w:szCs w:val="24"/>
        </w:rPr>
        <w:t>, use the opioid</w:t>
      </w:r>
      <w:r w:rsidR="00DF21F9">
        <w:rPr>
          <w:color w:val="000000"/>
          <w:sz w:val="24"/>
          <w:szCs w:val="24"/>
        </w:rPr>
        <w:t xml:space="preserve"> or opioid </w:t>
      </w:r>
      <w:r w:rsidR="003E0DB4">
        <w:rPr>
          <w:color w:val="000000"/>
          <w:sz w:val="24"/>
          <w:szCs w:val="24"/>
        </w:rPr>
        <w:t>derivative</w:t>
      </w:r>
      <w:r w:rsidRPr="00CE44D7">
        <w:rPr>
          <w:color w:val="000000"/>
          <w:sz w:val="24"/>
          <w:szCs w:val="24"/>
        </w:rPr>
        <w:t>, or recover from its effects.</w:t>
      </w:r>
    </w:p>
    <w:p w14:paraId="73097738" w14:textId="28640C48"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Craving, or a strong desire or urge to use opioids</w:t>
      </w:r>
      <w:r w:rsidR="003E0DB4">
        <w:rPr>
          <w:color w:val="000000"/>
          <w:sz w:val="24"/>
          <w:szCs w:val="24"/>
        </w:rPr>
        <w:t xml:space="preserve"> or opioid derivatives</w:t>
      </w:r>
      <w:r w:rsidRPr="00CE44D7">
        <w:rPr>
          <w:color w:val="000000"/>
          <w:sz w:val="24"/>
          <w:szCs w:val="24"/>
        </w:rPr>
        <w:t>.</w:t>
      </w:r>
    </w:p>
    <w:p w14:paraId="4D2F90DC" w14:textId="2137E76C"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 xml:space="preserve">Recurrent opioid </w:t>
      </w:r>
      <w:r w:rsidR="003E0DB4">
        <w:rPr>
          <w:color w:val="000000"/>
          <w:sz w:val="24"/>
          <w:szCs w:val="24"/>
        </w:rPr>
        <w:t xml:space="preserve">or opioid derivative </w:t>
      </w:r>
      <w:r w:rsidRPr="00CE44D7">
        <w:rPr>
          <w:color w:val="000000"/>
          <w:sz w:val="24"/>
          <w:szCs w:val="24"/>
        </w:rPr>
        <w:t>use resulting in a failure to fulfill major role obligations at work, school, or home.</w:t>
      </w:r>
    </w:p>
    <w:p w14:paraId="34D528F4" w14:textId="72D522F3"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 xml:space="preserve">Continued opioid </w:t>
      </w:r>
      <w:r w:rsidR="003E0DB4">
        <w:rPr>
          <w:color w:val="000000"/>
          <w:sz w:val="24"/>
          <w:szCs w:val="24"/>
        </w:rPr>
        <w:t xml:space="preserve">or opioid derivative </w:t>
      </w:r>
      <w:r w:rsidRPr="00CE44D7">
        <w:rPr>
          <w:color w:val="000000"/>
          <w:sz w:val="24"/>
          <w:szCs w:val="24"/>
        </w:rPr>
        <w:t>use despite having persistent or recurrent social or interpersonal problems caused or exacerbated by the effects of opioids</w:t>
      </w:r>
      <w:r w:rsidR="003E0DB4">
        <w:rPr>
          <w:color w:val="000000"/>
          <w:sz w:val="24"/>
          <w:szCs w:val="24"/>
        </w:rPr>
        <w:t xml:space="preserve"> or opioid derivatives</w:t>
      </w:r>
      <w:r w:rsidRPr="00CE44D7">
        <w:rPr>
          <w:color w:val="000000"/>
          <w:sz w:val="24"/>
          <w:szCs w:val="24"/>
        </w:rPr>
        <w:t>.</w:t>
      </w:r>
    </w:p>
    <w:p w14:paraId="7090FB18" w14:textId="75AAB125"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Important social, occupational, or recreational activities are given up or reduced because of opioid</w:t>
      </w:r>
      <w:r w:rsidR="003E0DB4">
        <w:rPr>
          <w:color w:val="000000"/>
          <w:sz w:val="24"/>
          <w:szCs w:val="24"/>
        </w:rPr>
        <w:t xml:space="preserve"> or opioid derivative</w:t>
      </w:r>
      <w:r w:rsidRPr="00CE44D7">
        <w:rPr>
          <w:color w:val="000000"/>
          <w:sz w:val="24"/>
          <w:szCs w:val="24"/>
        </w:rPr>
        <w:t xml:space="preserve"> use.</w:t>
      </w:r>
    </w:p>
    <w:p w14:paraId="04FDBB7D" w14:textId="305AD5CC"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 xml:space="preserve">Recurrent opioid </w:t>
      </w:r>
      <w:r w:rsidR="003E0DB4">
        <w:rPr>
          <w:color w:val="000000"/>
          <w:sz w:val="24"/>
          <w:szCs w:val="24"/>
        </w:rPr>
        <w:t xml:space="preserve">or opioid derivative </w:t>
      </w:r>
      <w:r w:rsidRPr="00CE44D7">
        <w:rPr>
          <w:color w:val="000000"/>
          <w:sz w:val="24"/>
          <w:szCs w:val="24"/>
        </w:rPr>
        <w:t>use in situations in which it is physically hazardous.</w:t>
      </w:r>
    </w:p>
    <w:p w14:paraId="150E4FF4" w14:textId="27C8C89B"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 xml:space="preserve">Continued opioid </w:t>
      </w:r>
      <w:r w:rsidR="003E0DB4">
        <w:rPr>
          <w:color w:val="000000"/>
          <w:sz w:val="24"/>
          <w:szCs w:val="24"/>
        </w:rPr>
        <w:t xml:space="preserve">or opioid derivative </w:t>
      </w:r>
      <w:r w:rsidRPr="00CE44D7">
        <w:rPr>
          <w:color w:val="000000"/>
          <w:sz w:val="24"/>
          <w:szCs w:val="24"/>
        </w:rPr>
        <w:t>use despite knowledge of having a persistent or recurrent physical or psychological problem that is likely to have been caused or exacerbated by the substance.</w:t>
      </w:r>
    </w:p>
    <w:p w14:paraId="611DF731" w14:textId="347EF6D6"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Exhibits tolerance.</w:t>
      </w:r>
    </w:p>
    <w:p w14:paraId="55A0EB71" w14:textId="05D03581" w:rsidR="00CE44D7" w:rsidRPr="00CE44D7" w:rsidRDefault="00CE44D7" w:rsidP="00CE44D7">
      <w:pPr>
        <w:numPr>
          <w:ilvl w:val="0"/>
          <w:numId w:val="30"/>
        </w:numPr>
        <w:tabs>
          <w:tab w:val="clear" w:pos="720"/>
        </w:tabs>
        <w:spacing w:before="240"/>
        <w:rPr>
          <w:color w:val="000000"/>
          <w:sz w:val="24"/>
          <w:szCs w:val="24"/>
        </w:rPr>
      </w:pPr>
      <w:r w:rsidRPr="00CE44D7">
        <w:rPr>
          <w:color w:val="000000"/>
          <w:sz w:val="24"/>
          <w:szCs w:val="24"/>
        </w:rPr>
        <w:t>Exhibits withdrawal.</w:t>
      </w:r>
    </w:p>
    <w:p w14:paraId="4180BF31" w14:textId="19CF65B3" w:rsidR="004F733C" w:rsidRPr="004A4FE3" w:rsidRDefault="00B05A89" w:rsidP="004F733C">
      <w:pPr>
        <w:pStyle w:val="BodyText2"/>
        <w:spacing w:before="360"/>
        <w:rPr>
          <w:b/>
          <w:szCs w:val="24"/>
        </w:rPr>
      </w:pPr>
      <w:r w:rsidRPr="00B05A89">
        <w:t xml:space="preserve">Opioids or opioid derivatives must be a drug of choice </w:t>
      </w:r>
      <w:r w:rsidR="004F733C">
        <w:t xml:space="preserve">of the individual who is the head of household or their spouse. Other immediate family members of the head of household may reside in the housing created under this program description as made available under the terms of the housing provider.    </w:t>
      </w:r>
    </w:p>
    <w:p w14:paraId="41A6E3A7" w14:textId="2A50BC32" w:rsidR="00DA10DB" w:rsidRDefault="00CE44D7" w:rsidP="004F733C">
      <w:pPr>
        <w:spacing w:before="240"/>
        <w:jc w:val="both"/>
        <w:rPr>
          <w:sz w:val="24"/>
          <w:szCs w:val="24"/>
        </w:rPr>
      </w:pPr>
      <w:r>
        <w:rPr>
          <w:sz w:val="24"/>
          <w:szCs w:val="24"/>
        </w:rPr>
        <w:t>I</w:t>
      </w:r>
      <w:r w:rsidR="00DA10DB">
        <w:rPr>
          <w:sz w:val="24"/>
          <w:szCs w:val="24"/>
        </w:rPr>
        <w:t>n accordance with the recommendations made under the Recovery Housing Policy Brief issued</w:t>
      </w:r>
      <w:r w:rsidR="003D2893">
        <w:rPr>
          <w:sz w:val="24"/>
          <w:szCs w:val="24"/>
        </w:rPr>
        <w:t xml:space="preserve"> in December 2015</w:t>
      </w:r>
      <w:r w:rsidR="00DA10DB">
        <w:rPr>
          <w:sz w:val="24"/>
          <w:szCs w:val="24"/>
        </w:rPr>
        <w:t xml:space="preserve"> by the U.S. Department of Housing and Urban Development, THDA </w:t>
      </w:r>
      <w:r w:rsidR="008500FD">
        <w:rPr>
          <w:sz w:val="24"/>
          <w:szCs w:val="24"/>
        </w:rPr>
        <w:t xml:space="preserve">and TDMHSAS </w:t>
      </w:r>
      <w:r w:rsidR="00DA10DB">
        <w:rPr>
          <w:sz w:val="24"/>
          <w:szCs w:val="24"/>
        </w:rPr>
        <w:t xml:space="preserve">will seek </w:t>
      </w:r>
      <w:r w:rsidR="008D7580">
        <w:rPr>
          <w:sz w:val="24"/>
          <w:szCs w:val="24"/>
        </w:rPr>
        <w:t xml:space="preserve">permanent </w:t>
      </w:r>
      <w:r w:rsidR="00DA10DB">
        <w:rPr>
          <w:sz w:val="24"/>
          <w:szCs w:val="24"/>
        </w:rPr>
        <w:t xml:space="preserve">housing options </w:t>
      </w:r>
      <w:r w:rsidR="008D7580">
        <w:rPr>
          <w:sz w:val="24"/>
          <w:szCs w:val="24"/>
        </w:rPr>
        <w:t xml:space="preserve">under this program description </w:t>
      </w:r>
      <w:r w:rsidR="00DA10DB">
        <w:rPr>
          <w:sz w:val="24"/>
          <w:szCs w:val="24"/>
        </w:rPr>
        <w:t>that support</w:t>
      </w:r>
      <w:r w:rsidR="00B05A89">
        <w:rPr>
          <w:sz w:val="24"/>
          <w:szCs w:val="24"/>
        </w:rPr>
        <w:t xml:space="preserve"> individuals </w:t>
      </w:r>
      <w:r w:rsidR="00B05A89" w:rsidRPr="00B05A89">
        <w:rPr>
          <w:sz w:val="24"/>
          <w:szCs w:val="24"/>
        </w:rPr>
        <w:t xml:space="preserve">recovering from </w:t>
      </w:r>
      <w:r w:rsidR="005B04F4">
        <w:rPr>
          <w:sz w:val="24"/>
          <w:szCs w:val="24"/>
        </w:rPr>
        <w:t xml:space="preserve">the </w:t>
      </w:r>
      <w:r w:rsidR="00B05A89" w:rsidRPr="00B05A89">
        <w:rPr>
          <w:sz w:val="24"/>
          <w:szCs w:val="24"/>
        </w:rPr>
        <w:t xml:space="preserve">use of opioids or opioid derivatives </w:t>
      </w:r>
      <w:r w:rsidR="00DA10DB">
        <w:rPr>
          <w:sz w:val="24"/>
          <w:szCs w:val="24"/>
        </w:rPr>
        <w:t xml:space="preserve">following four dimensions: </w:t>
      </w:r>
    </w:p>
    <w:p w14:paraId="3A784E5E" w14:textId="1EE9AD98" w:rsidR="00DA10DB" w:rsidRDefault="00DA10DB" w:rsidP="00DA10DB">
      <w:pPr>
        <w:spacing w:before="120"/>
        <w:ind w:left="360" w:hanging="360"/>
        <w:jc w:val="both"/>
        <w:rPr>
          <w:sz w:val="24"/>
          <w:szCs w:val="24"/>
        </w:rPr>
      </w:pPr>
      <w:r w:rsidRPr="00DA10DB">
        <w:rPr>
          <w:sz w:val="24"/>
          <w:szCs w:val="24"/>
        </w:rPr>
        <w:t xml:space="preserve">1. </w:t>
      </w:r>
      <w:r>
        <w:rPr>
          <w:sz w:val="24"/>
          <w:szCs w:val="24"/>
        </w:rPr>
        <w:tab/>
      </w:r>
      <w:r w:rsidRPr="00DA10DB">
        <w:rPr>
          <w:sz w:val="24"/>
          <w:szCs w:val="24"/>
        </w:rPr>
        <w:t>Health</w:t>
      </w:r>
      <w:r w:rsidR="008D7580">
        <w:rPr>
          <w:sz w:val="24"/>
          <w:szCs w:val="24"/>
        </w:rPr>
        <w:t xml:space="preserve"> </w:t>
      </w:r>
      <w:r w:rsidRPr="00DA10DB">
        <w:rPr>
          <w:sz w:val="24"/>
          <w:szCs w:val="24"/>
        </w:rPr>
        <w:t>–</w:t>
      </w:r>
      <w:r w:rsidR="008D7580">
        <w:rPr>
          <w:sz w:val="24"/>
          <w:szCs w:val="24"/>
        </w:rPr>
        <w:t xml:space="preserve"> </w:t>
      </w:r>
      <w:r w:rsidRPr="00DA10DB">
        <w:rPr>
          <w:sz w:val="24"/>
          <w:szCs w:val="24"/>
        </w:rPr>
        <w:t xml:space="preserve">Overcoming or managing one’s disease(s) or symptoms–for example, </w:t>
      </w:r>
      <w:r>
        <w:rPr>
          <w:sz w:val="24"/>
          <w:szCs w:val="24"/>
        </w:rPr>
        <w:t xml:space="preserve">abstaining from use of alcohol, </w:t>
      </w:r>
      <w:r w:rsidRPr="00DA10DB">
        <w:rPr>
          <w:sz w:val="24"/>
          <w:szCs w:val="24"/>
        </w:rPr>
        <w:t xml:space="preserve">illicit drugs, and non-prescribed medications if an individual has an addiction problem–and for everyone in recovery, making informed, healthy choices that support physical and emotional wellbeing. </w:t>
      </w:r>
    </w:p>
    <w:p w14:paraId="346337AD" w14:textId="19DCB3E1" w:rsidR="00DA10DB" w:rsidRDefault="00DA10DB" w:rsidP="00DA10DB">
      <w:pPr>
        <w:spacing w:before="120"/>
        <w:ind w:left="360" w:hanging="360"/>
        <w:jc w:val="both"/>
        <w:rPr>
          <w:sz w:val="24"/>
          <w:szCs w:val="24"/>
        </w:rPr>
      </w:pPr>
      <w:r w:rsidRPr="00DA10DB">
        <w:rPr>
          <w:sz w:val="24"/>
          <w:szCs w:val="24"/>
        </w:rPr>
        <w:t xml:space="preserve">2. </w:t>
      </w:r>
      <w:r>
        <w:rPr>
          <w:sz w:val="24"/>
          <w:szCs w:val="24"/>
        </w:rPr>
        <w:tab/>
      </w:r>
      <w:r w:rsidRPr="00DA10DB">
        <w:rPr>
          <w:sz w:val="24"/>
          <w:szCs w:val="24"/>
        </w:rPr>
        <w:t>Home</w:t>
      </w:r>
      <w:r w:rsidR="008D7580">
        <w:rPr>
          <w:sz w:val="24"/>
          <w:szCs w:val="24"/>
        </w:rPr>
        <w:t xml:space="preserve"> </w:t>
      </w:r>
      <w:r w:rsidRPr="00DA10DB">
        <w:rPr>
          <w:sz w:val="24"/>
          <w:szCs w:val="24"/>
        </w:rPr>
        <w:t>–</w:t>
      </w:r>
      <w:r w:rsidR="008D7580">
        <w:rPr>
          <w:sz w:val="24"/>
          <w:szCs w:val="24"/>
        </w:rPr>
        <w:t xml:space="preserve"> </w:t>
      </w:r>
      <w:r w:rsidRPr="00DA10DB">
        <w:rPr>
          <w:sz w:val="24"/>
          <w:szCs w:val="24"/>
        </w:rPr>
        <w:t xml:space="preserve">A stable and safe place to live. </w:t>
      </w:r>
    </w:p>
    <w:p w14:paraId="5D5BC548" w14:textId="2D0F3974" w:rsidR="00DA10DB" w:rsidRDefault="00DA10DB" w:rsidP="00DA10DB">
      <w:pPr>
        <w:spacing w:before="120"/>
        <w:ind w:left="360" w:hanging="360"/>
        <w:jc w:val="both"/>
        <w:rPr>
          <w:sz w:val="24"/>
          <w:szCs w:val="24"/>
        </w:rPr>
      </w:pPr>
      <w:r w:rsidRPr="00DA10DB">
        <w:rPr>
          <w:sz w:val="24"/>
          <w:szCs w:val="24"/>
        </w:rPr>
        <w:t xml:space="preserve">3. </w:t>
      </w:r>
      <w:r>
        <w:rPr>
          <w:sz w:val="24"/>
          <w:szCs w:val="24"/>
        </w:rPr>
        <w:tab/>
      </w:r>
      <w:r w:rsidRPr="00DA10DB">
        <w:rPr>
          <w:sz w:val="24"/>
          <w:szCs w:val="24"/>
        </w:rPr>
        <w:t>Purpose</w:t>
      </w:r>
      <w:r w:rsidR="008D7580">
        <w:rPr>
          <w:sz w:val="24"/>
          <w:szCs w:val="24"/>
        </w:rPr>
        <w:t xml:space="preserve"> </w:t>
      </w:r>
      <w:r w:rsidRPr="00DA10DB">
        <w:rPr>
          <w:sz w:val="24"/>
          <w:szCs w:val="24"/>
        </w:rPr>
        <w:t>–</w:t>
      </w:r>
      <w:r w:rsidR="008D7580">
        <w:rPr>
          <w:sz w:val="24"/>
          <w:szCs w:val="24"/>
        </w:rPr>
        <w:t xml:space="preserve"> </w:t>
      </w:r>
      <w:r w:rsidRPr="00DA10DB">
        <w:rPr>
          <w:sz w:val="24"/>
          <w:szCs w:val="24"/>
        </w:rPr>
        <w:t xml:space="preserve">Meaningful daily activities, such as a job, school, volunteerism, family caretaking, or creative endeavors, and the independence, income and resources to participate in society. </w:t>
      </w:r>
    </w:p>
    <w:p w14:paraId="54834F58" w14:textId="21C61C91" w:rsidR="004F733C" w:rsidRDefault="00DA10DB" w:rsidP="004F733C">
      <w:pPr>
        <w:spacing w:before="120"/>
        <w:ind w:left="360" w:hanging="360"/>
        <w:jc w:val="both"/>
        <w:rPr>
          <w:sz w:val="24"/>
          <w:szCs w:val="24"/>
        </w:rPr>
      </w:pPr>
      <w:r w:rsidRPr="00DA10DB">
        <w:rPr>
          <w:sz w:val="24"/>
          <w:szCs w:val="24"/>
        </w:rPr>
        <w:t xml:space="preserve">4. </w:t>
      </w:r>
      <w:r>
        <w:rPr>
          <w:sz w:val="24"/>
          <w:szCs w:val="24"/>
        </w:rPr>
        <w:tab/>
      </w:r>
      <w:r w:rsidRPr="00DA10DB">
        <w:rPr>
          <w:sz w:val="24"/>
          <w:szCs w:val="24"/>
        </w:rPr>
        <w:t>Community</w:t>
      </w:r>
      <w:r w:rsidR="008D7580">
        <w:rPr>
          <w:sz w:val="24"/>
          <w:szCs w:val="24"/>
        </w:rPr>
        <w:t xml:space="preserve"> </w:t>
      </w:r>
      <w:r w:rsidRPr="00DA10DB">
        <w:rPr>
          <w:sz w:val="24"/>
          <w:szCs w:val="24"/>
        </w:rPr>
        <w:t>–</w:t>
      </w:r>
      <w:r w:rsidR="008D7580">
        <w:rPr>
          <w:sz w:val="24"/>
          <w:szCs w:val="24"/>
        </w:rPr>
        <w:t xml:space="preserve"> </w:t>
      </w:r>
      <w:r w:rsidRPr="00DA10DB">
        <w:rPr>
          <w:sz w:val="24"/>
          <w:szCs w:val="24"/>
        </w:rPr>
        <w:t>Relationships and social networks that provide support, friendship, love, and hope.</w:t>
      </w:r>
    </w:p>
    <w:p w14:paraId="4842B98C" w14:textId="42D505A7" w:rsidR="007912F0" w:rsidRDefault="007912F0" w:rsidP="004F733C">
      <w:pPr>
        <w:spacing w:before="120"/>
        <w:ind w:left="360" w:hanging="360"/>
        <w:jc w:val="both"/>
        <w:rPr>
          <w:sz w:val="24"/>
          <w:szCs w:val="24"/>
        </w:rPr>
      </w:pPr>
    </w:p>
    <w:p w14:paraId="0FF4FB53" w14:textId="77777777" w:rsidR="007912F0" w:rsidRDefault="007912F0" w:rsidP="007912F0">
      <w:pPr>
        <w:spacing w:before="120"/>
        <w:jc w:val="both"/>
        <w:rPr>
          <w:sz w:val="24"/>
          <w:szCs w:val="24"/>
        </w:rPr>
      </w:pPr>
      <w:r>
        <w:rPr>
          <w:sz w:val="24"/>
          <w:szCs w:val="24"/>
        </w:rPr>
        <w:lastRenderedPageBreak/>
        <w:t>In accordance with the Recovery Housing Policy Brief, THDA and TDMHSAS will expect all Recovery Housing programs supported under this program description to have the following defining characteristics:</w:t>
      </w:r>
    </w:p>
    <w:p w14:paraId="445A5926"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P</w:t>
      </w:r>
      <w:r w:rsidRPr="004A4FE3">
        <w:rPr>
          <w:sz w:val="24"/>
          <w:szCs w:val="24"/>
        </w:rPr>
        <w:t>rogram participation is self-initiated (there may be exceptions for court ordered participation) and residents have expressed a preference for living in a housing setting targeted to people in recovery with an abstinence focus</w:t>
      </w:r>
      <w:r>
        <w:rPr>
          <w:sz w:val="24"/>
          <w:szCs w:val="24"/>
        </w:rPr>
        <w:t>.</w:t>
      </w:r>
    </w:p>
    <w:p w14:paraId="591ADC69"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M</w:t>
      </w:r>
      <w:r w:rsidRPr="004A4FE3">
        <w:rPr>
          <w:sz w:val="24"/>
          <w:szCs w:val="24"/>
        </w:rPr>
        <w:t xml:space="preserve">inimal barriers </w:t>
      </w:r>
      <w:r>
        <w:rPr>
          <w:sz w:val="24"/>
          <w:szCs w:val="24"/>
        </w:rPr>
        <w:t xml:space="preserve">exist </w:t>
      </w:r>
      <w:r w:rsidRPr="004A4FE3">
        <w:rPr>
          <w:sz w:val="24"/>
          <w:szCs w:val="24"/>
        </w:rPr>
        <w:t>to entry into programs, so that long periods of sobriety, clean criminal records, or clear eviction histories are not required for program entry</w:t>
      </w:r>
      <w:r>
        <w:rPr>
          <w:sz w:val="24"/>
          <w:szCs w:val="24"/>
        </w:rPr>
        <w:t>.</w:t>
      </w:r>
    </w:p>
    <w:p w14:paraId="768682F4"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H</w:t>
      </w:r>
      <w:r w:rsidRPr="004A4FE3">
        <w:rPr>
          <w:sz w:val="24"/>
          <w:szCs w:val="24"/>
        </w:rPr>
        <w:t>ousing</w:t>
      </w:r>
      <w:r>
        <w:rPr>
          <w:sz w:val="24"/>
          <w:szCs w:val="24"/>
        </w:rPr>
        <w:t xml:space="preserve"> generally</w:t>
      </w:r>
      <w:r w:rsidRPr="004A4FE3">
        <w:rPr>
          <w:sz w:val="24"/>
          <w:szCs w:val="24"/>
        </w:rPr>
        <w:t xml:space="preserve"> is single-site because of the benefits of the creation of a Recovery Oriented Community, but may include other housing configurations</w:t>
      </w:r>
      <w:r>
        <w:rPr>
          <w:sz w:val="24"/>
          <w:szCs w:val="24"/>
        </w:rPr>
        <w:t>.</w:t>
      </w:r>
      <w:r w:rsidRPr="004A4FE3">
        <w:rPr>
          <w:sz w:val="24"/>
          <w:szCs w:val="24"/>
        </w:rPr>
        <w:t xml:space="preserve"> </w:t>
      </w:r>
    </w:p>
    <w:p w14:paraId="215AD08A"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R</w:t>
      </w:r>
      <w:r w:rsidRPr="004A4FE3">
        <w:rPr>
          <w:sz w:val="24"/>
          <w:szCs w:val="24"/>
        </w:rPr>
        <w:t>esidents have personal privacy and 24/7 access to the housing, with community space for resident gatherings and meetings</w:t>
      </w:r>
      <w:r>
        <w:rPr>
          <w:sz w:val="24"/>
          <w:szCs w:val="24"/>
        </w:rPr>
        <w:t>.</w:t>
      </w:r>
    </w:p>
    <w:p w14:paraId="33FF0863"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H</w:t>
      </w:r>
      <w:r w:rsidRPr="004A4FE3">
        <w:rPr>
          <w:sz w:val="24"/>
          <w:szCs w:val="24"/>
        </w:rPr>
        <w:t>olistic services and peer-based recovery supports are available to all program participants</w:t>
      </w:r>
      <w:r>
        <w:rPr>
          <w:sz w:val="24"/>
          <w:szCs w:val="24"/>
        </w:rPr>
        <w:t>.</w:t>
      </w:r>
    </w:p>
    <w:p w14:paraId="59F19807"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A</w:t>
      </w:r>
      <w:r w:rsidRPr="004A4FE3">
        <w:rPr>
          <w:sz w:val="24"/>
          <w:szCs w:val="24"/>
        </w:rPr>
        <w:t xml:space="preserve">long with services to help achieve goals focused on permanent housing placements and stability, and income and employment, programs provide services that align with participants’ choice and prioritization of personal goals of sustained recovery and abstinence from </w:t>
      </w:r>
      <w:r>
        <w:rPr>
          <w:sz w:val="24"/>
          <w:szCs w:val="24"/>
        </w:rPr>
        <w:t>opioid</w:t>
      </w:r>
      <w:r w:rsidRPr="004A4FE3">
        <w:rPr>
          <w:sz w:val="24"/>
          <w:szCs w:val="24"/>
        </w:rPr>
        <w:t xml:space="preserve"> use</w:t>
      </w:r>
      <w:r>
        <w:rPr>
          <w:sz w:val="24"/>
          <w:szCs w:val="24"/>
        </w:rPr>
        <w:t>.</w:t>
      </w:r>
      <w:r w:rsidRPr="004A4FE3">
        <w:rPr>
          <w:sz w:val="24"/>
          <w:szCs w:val="24"/>
        </w:rPr>
        <w:t xml:space="preserve"> </w:t>
      </w:r>
    </w:p>
    <w:p w14:paraId="24622B1F"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R</w:t>
      </w:r>
      <w:r w:rsidRPr="004A4FE3">
        <w:rPr>
          <w:sz w:val="24"/>
          <w:szCs w:val="24"/>
        </w:rPr>
        <w:t>elapse is not treated as an automatic cause for eviction from housing or termination from a program</w:t>
      </w:r>
      <w:r>
        <w:rPr>
          <w:sz w:val="24"/>
          <w:szCs w:val="24"/>
        </w:rPr>
        <w:t>.</w:t>
      </w:r>
      <w:r w:rsidRPr="004A4FE3">
        <w:rPr>
          <w:sz w:val="24"/>
          <w:szCs w:val="24"/>
        </w:rPr>
        <w:t xml:space="preserve"> </w:t>
      </w:r>
    </w:p>
    <w:p w14:paraId="651D1149"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E</w:t>
      </w:r>
      <w:r w:rsidRPr="004A4FE3">
        <w:rPr>
          <w:sz w:val="24"/>
          <w:szCs w:val="24"/>
        </w:rPr>
        <w:t>viction from permanent supportive housing should only occur when a participant’s behavior substantially disrupts or impacts the welfare of the recovery community in which the participant resides; however, the participant may apply to reenter the housing program if they express a renewed commitment to living in a housing setting targeted to people in re</w:t>
      </w:r>
      <w:r>
        <w:rPr>
          <w:sz w:val="24"/>
          <w:szCs w:val="24"/>
        </w:rPr>
        <w:t>covery with an abstinence focus.</w:t>
      </w:r>
      <w:r w:rsidRPr="004A4FE3">
        <w:rPr>
          <w:sz w:val="24"/>
          <w:szCs w:val="24"/>
        </w:rPr>
        <w:t xml:space="preserve"> </w:t>
      </w:r>
    </w:p>
    <w:p w14:paraId="272D133C"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P</w:t>
      </w:r>
      <w:r w:rsidRPr="004A4FE3">
        <w:rPr>
          <w:sz w:val="24"/>
          <w:szCs w:val="24"/>
        </w:rPr>
        <w:t>articipants who determine that they are no longer interested in living in a housing setting with an abstinence focus, or who are discharged from the program or evicted from the housing, are offered assistance in accessing other housing and services options, including options operated with harm reduction principles</w:t>
      </w:r>
      <w:r>
        <w:rPr>
          <w:sz w:val="24"/>
          <w:szCs w:val="24"/>
        </w:rPr>
        <w:t>.</w:t>
      </w:r>
      <w:r w:rsidRPr="004A4FE3">
        <w:rPr>
          <w:sz w:val="24"/>
          <w:szCs w:val="24"/>
        </w:rPr>
        <w:t xml:space="preserve"> </w:t>
      </w:r>
    </w:p>
    <w:p w14:paraId="0747A5FD" w14:textId="77777777" w:rsidR="007912F0" w:rsidRDefault="007912F0" w:rsidP="007912F0">
      <w:pPr>
        <w:spacing w:before="280"/>
        <w:ind w:left="360" w:hanging="360"/>
        <w:jc w:val="both"/>
        <w:rPr>
          <w:sz w:val="24"/>
          <w:szCs w:val="24"/>
        </w:rPr>
      </w:pPr>
      <w:r w:rsidRPr="004A4FE3">
        <w:rPr>
          <w:sz w:val="24"/>
          <w:szCs w:val="24"/>
        </w:rPr>
        <w:sym w:font="Symbol" w:char="F0B7"/>
      </w:r>
      <w:r w:rsidRPr="004A4FE3">
        <w:rPr>
          <w:sz w:val="24"/>
          <w:szCs w:val="24"/>
        </w:rPr>
        <w:t xml:space="preserve"> </w:t>
      </w:r>
      <w:r>
        <w:rPr>
          <w:sz w:val="24"/>
          <w:szCs w:val="24"/>
        </w:rPr>
        <w:tab/>
        <w:t>P</w:t>
      </w:r>
      <w:r w:rsidRPr="004A4FE3">
        <w:rPr>
          <w:sz w:val="24"/>
          <w:szCs w:val="24"/>
        </w:rPr>
        <w:t>ermanent housing programs must abide by all local and State landlord</w:t>
      </w:r>
      <w:r>
        <w:rPr>
          <w:sz w:val="24"/>
          <w:szCs w:val="24"/>
        </w:rPr>
        <w:t xml:space="preserve"> </w:t>
      </w:r>
      <w:r w:rsidRPr="004A4FE3">
        <w:rPr>
          <w:sz w:val="24"/>
          <w:szCs w:val="24"/>
        </w:rPr>
        <w:t>tenant laws that govern grounds for eviction.</w:t>
      </w:r>
    </w:p>
    <w:p w14:paraId="0146B0B0" w14:textId="62B78F6F" w:rsidR="007912F0" w:rsidRDefault="007912F0" w:rsidP="004F733C">
      <w:pPr>
        <w:spacing w:before="120"/>
        <w:ind w:left="360" w:hanging="360"/>
        <w:jc w:val="both"/>
        <w:rPr>
          <w:sz w:val="24"/>
          <w:szCs w:val="24"/>
        </w:rPr>
      </w:pPr>
    </w:p>
    <w:p w14:paraId="37067BD4" w14:textId="0EC93A14" w:rsidR="007912F0" w:rsidRDefault="007912F0" w:rsidP="004F733C">
      <w:pPr>
        <w:spacing w:before="120"/>
        <w:ind w:left="360" w:hanging="360"/>
        <w:jc w:val="both"/>
        <w:rPr>
          <w:sz w:val="24"/>
          <w:szCs w:val="24"/>
        </w:rPr>
      </w:pPr>
    </w:p>
    <w:p w14:paraId="58C5BE5F" w14:textId="77777777" w:rsidR="007912F0" w:rsidRDefault="007912F0" w:rsidP="004F733C">
      <w:pPr>
        <w:spacing w:before="120"/>
        <w:ind w:left="360" w:hanging="360"/>
        <w:jc w:val="both"/>
        <w:rPr>
          <w:sz w:val="24"/>
          <w:szCs w:val="24"/>
        </w:rPr>
      </w:pPr>
    </w:p>
    <w:p w14:paraId="4FF0561A" w14:textId="48AAA5C7" w:rsidR="00BC7315" w:rsidRPr="000456F9" w:rsidRDefault="00DA10DB" w:rsidP="006C5D11">
      <w:pPr>
        <w:tabs>
          <w:tab w:val="left" w:pos="360"/>
        </w:tabs>
        <w:spacing w:before="280"/>
        <w:jc w:val="both"/>
        <w:rPr>
          <w:b/>
          <w:sz w:val="24"/>
          <w:szCs w:val="24"/>
        </w:rPr>
      </w:pPr>
      <w:r>
        <w:rPr>
          <w:b/>
          <w:sz w:val="24"/>
          <w:szCs w:val="24"/>
        </w:rPr>
        <w:lastRenderedPageBreak/>
        <w:t>B.</w:t>
      </w:r>
      <w:r>
        <w:rPr>
          <w:b/>
          <w:sz w:val="24"/>
          <w:szCs w:val="24"/>
        </w:rPr>
        <w:tab/>
      </w:r>
      <w:r w:rsidR="00BC7315" w:rsidRPr="000456F9">
        <w:rPr>
          <w:b/>
          <w:sz w:val="24"/>
          <w:szCs w:val="24"/>
        </w:rPr>
        <w:t>ELIGIBLE APPLICANTS</w:t>
      </w:r>
    </w:p>
    <w:p w14:paraId="664811A2" w14:textId="15629FB5" w:rsidR="00716F2F" w:rsidRDefault="00BC7315" w:rsidP="00BC7315">
      <w:pPr>
        <w:spacing w:before="240"/>
        <w:jc w:val="both"/>
        <w:rPr>
          <w:sz w:val="24"/>
          <w:szCs w:val="24"/>
        </w:rPr>
      </w:pPr>
      <w:r w:rsidRPr="000456F9">
        <w:rPr>
          <w:sz w:val="24"/>
          <w:szCs w:val="24"/>
        </w:rPr>
        <w:t xml:space="preserve">THDA will accept applications </w:t>
      </w:r>
      <w:r w:rsidR="004F2DE6">
        <w:rPr>
          <w:sz w:val="24"/>
          <w:szCs w:val="24"/>
        </w:rPr>
        <w:t>from</w:t>
      </w:r>
      <w:r w:rsidRPr="000456F9">
        <w:rPr>
          <w:sz w:val="24"/>
          <w:szCs w:val="24"/>
        </w:rPr>
        <w:t xml:space="preserve"> private, non-profit organizations</w:t>
      </w:r>
      <w:r w:rsidR="004F2DE6">
        <w:rPr>
          <w:sz w:val="24"/>
          <w:szCs w:val="24"/>
        </w:rPr>
        <w:t xml:space="preserve"> and local public housing authorities</w:t>
      </w:r>
      <w:r w:rsidR="00E70FE6">
        <w:rPr>
          <w:sz w:val="24"/>
          <w:szCs w:val="24"/>
        </w:rPr>
        <w:t xml:space="preserve"> that meet the requirements of this Program Description</w:t>
      </w:r>
      <w:r w:rsidR="00576ECC">
        <w:rPr>
          <w:sz w:val="24"/>
          <w:szCs w:val="24"/>
        </w:rPr>
        <w:t xml:space="preserve"> (“Applicant”)</w:t>
      </w:r>
      <w:r w:rsidRPr="000456F9">
        <w:rPr>
          <w:sz w:val="24"/>
          <w:szCs w:val="24"/>
        </w:rPr>
        <w:t xml:space="preserve">.  </w:t>
      </w:r>
    </w:p>
    <w:p w14:paraId="5FEF8FBE" w14:textId="2A2CE6E6" w:rsidR="00AB2742" w:rsidRPr="00FB6524" w:rsidRDefault="00AB2742" w:rsidP="00BC7315">
      <w:pPr>
        <w:spacing w:before="240"/>
        <w:jc w:val="both"/>
        <w:rPr>
          <w:sz w:val="24"/>
          <w:szCs w:val="24"/>
        </w:rPr>
      </w:pPr>
      <w:r w:rsidRPr="00FB6524">
        <w:rPr>
          <w:sz w:val="24"/>
          <w:szCs w:val="24"/>
        </w:rPr>
        <w:t xml:space="preserve">The Applicant selected for </w:t>
      </w:r>
      <w:r w:rsidR="004F2DE6">
        <w:rPr>
          <w:sz w:val="24"/>
          <w:szCs w:val="24"/>
        </w:rPr>
        <w:t>funding</w:t>
      </w:r>
      <w:r w:rsidR="00576ECC" w:rsidRPr="00FB6524">
        <w:rPr>
          <w:sz w:val="24"/>
          <w:szCs w:val="24"/>
        </w:rPr>
        <w:t xml:space="preserve"> </w:t>
      </w:r>
      <w:r w:rsidRPr="00FB6524">
        <w:rPr>
          <w:sz w:val="24"/>
          <w:szCs w:val="24"/>
        </w:rPr>
        <w:t xml:space="preserve">must be the owner of the proposed rental project at award. </w:t>
      </w:r>
      <w:r w:rsidR="00954D83">
        <w:rPr>
          <w:sz w:val="24"/>
          <w:szCs w:val="24"/>
        </w:rPr>
        <w:t xml:space="preserve">If combined with the Low Income Housing Credit (LIHC), </w:t>
      </w:r>
      <w:r w:rsidR="00954D83" w:rsidRPr="00954D83">
        <w:rPr>
          <w:sz w:val="24"/>
          <w:szCs w:val="24"/>
        </w:rPr>
        <w:t>t</w:t>
      </w:r>
      <w:r w:rsidR="004F2DE6" w:rsidRPr="00954D83">
        <w:rPr>
          <w:sz w:val="24"/>
          <w:szCs w:val="24"/>
        </w:rPr>
        <w:t>he Grantee m</w:t>
      </w:r>
      <w:r w:rsidRPr="00954D83">
        <w:rPr>
          <w:sz w:val="24"/>
          <w:szCs w:val="24"/>
        </w:rPr>
        <w:t>ust be the sole general partner or the sole managing member of the ownership entity or own 100% of the stock of a corporate ownership entity</w:t>
      </w:r>
      <w:r w:rsidR="00A46281" w:rsidRPr="00954D83">
        <w:rPr>
          <w:sz w:val="24"/>
          <w:szCs w:val="24"/>
        </w:rPr>
        <w:t>.</w:t>
      </w:r>
    </w:p>
    <w:p w14:paraId="5223F3FE" w14:textId="51C0905C" w:rsidR="00BC7315" w:rsidRDefault="000D0534" w:rsidP="00BC7315">
      <w:pPr>
        <w:spacing w:before="240"/>
        <w:jc w:val="both"/>
        <w:rPr>
          <w:sz w:val="24"/>
          <w:szCs w:val="24"/>
        </w:rPr>
      </w:pPr>
      <w:r>
        <w:rPr>
          <w:sz w:val="24"/>
          <w:szCs w:val="24"/>
        </w:rPr>
        <w:t xml:space="preserve">All </w:t>
      </w:r>
      <w:r w:rsidR="00E70FE6">
        <w:rPr>
          <w:sz w:val="24"/>
          <w:szCs w:val="24"/>
        </w:rPr>
        <w:t xml:space="preserve">private, </w:t>
      </w:r>
      <w:r>
        <w:rPr>
          <w:sz w:val="24"/>
          <w:szCs w:val="24"/>
        </w:rPr>
        <w:t>non</w:t>
      </w:r>
      <w:r w:rsidR="00E70FE6">
        <w:rPr>
          <w:sz w:val="24"/>
          <w:szCs w:val="24"/>
        </w:rPr>
        <w:t>-</w:t>
      </w:r>
      <w:r>
        <w:rPr>
          <w:sz w:val="24"/>
          <w:szCs w:val="24"/>
        </w:rPr>
        <w:t>profit organizations</w:t>
      </w:r>
      <w:r w:rsidR="000B59A4" w:rsidRPr="000456F9">
        <w:rPr>
          <w:sz w:val="24"/>
          <w:szCs w:val="24"/>
        </w:rPr>
        <w:t xml:space="preserve"> must </w:t>
      </w:r>
      <w:r w:rsidR="00BC7315" w:rsidRPr="000456F9">
        <w:rPr>
          <w:sz w:val="24"/>
          <w:szCs w:val="24"/>
        </w:rPr>
        <w:t xml:space="preserve">submit </w:t>
      </w:r>
      <w:r w:rsidR="00961F24" w:rsidRPr="000456F9">
        <w:rPr>
          <w:i/>
          <w:sz w:val="24"/>
          <w:szCs w:val="24"/>
        </w:rPr>
        <w:t>Attachment One</w:t>
      </w:r>
      <w:r w:rsidR="00BC7315" w:rsidRPr="000456F9">
        <w:rPr>
          <w:i/>
          <w:sz w:val="24"/>
          <w:szCs w:val="24"/>
        </w:rPr>
        <w:t>: Non-Profit Checklist</w:t>
      </w:r>
      <w:r w:rsidR="00BC7315" w:rsidRPr="000456F9">
        <w:rPr>
          <w:sz w:val="24"/>
          <w:szCs w:val="24"/>
        </w:rPr>
        <w:t xml:space="preserve"> with supporting documentation.</w:t>
      </w:r>
      <w:r w:rsidR="00E70FE6">
        <w:rPr>
          <w:sz w:val="24"/>
          <w:szCs w:val="24"/>
        </w:rPr>
        <w:t xml:space="preserve"> All private, non-profit</w:t>
      </w:r>
      <w:r w:rsidR="00E70FE6" w:rsidRPr="005A21FC">
        <w:rPr>
          <w:sz w:val="24"/>
          <w:szCs w:val="24"/>
        </w:rPr>
        <w:t xml:space="preserve"> organization</w:t>
      </w:r>
      <w:r w:rsidR="00E70FE6">
        <w:rPr>
          <w:sz w:val="24"/>
          <w:szCs w:val="24"/>
        </w:rPr>
        <w:t>s</w:t>
      </w:r>
      <w:r w:rsidR="00E70FE6" w:rsidRPr="005A21FC">
        <w:rPr>
          <w:sz w:val="24"/>
          <w:szCs w:val="24"/>
        </w:rPr>
        <w:t xml:space="preserve"> must be organized and existing in the State </w:t>
      </w:r>
      <w:r w:rsidR="00E70FE6">
        <w:rPr>
          <w:sz w:val="24"/>
          <w:szCs w:val="24"/>
        </w:rPr>
        <w:t>of Tennessee (as evidenced by a</w:t>
      </w:r>
      <w:r w:rsidR="00E70FE6" w:rsidRPr="005A21FC">
        <w:rPr>
          <w:sz w:val="24"/>
          <w:szCs w:val="24"/>
        </w:rPr>
        <w:t xml:space="preserve"> Certificate of Existence from the Tenne</w:t>
      </w:r>
      <w:r w:rsidR="00E70FE6">
        <w:rPr>
          <w:sz w:val="24"/>
          <w:szCs w:val="24"/>
        </w:rPr>
        <w:t>ssee Secretary of State</w:t>
      </w:r>
      <w:r w:rsidR="00E70FE6" w:rsidRPr="005A21FC">
        <w:rPr>
          <w:sz w:val="24"/>
          <w:szCs w:val="24"/>
        </w:rPr>
        <w:t xml:space="preserve">, dated no more than 30 days prior </w:t>
      </w:r>
      <w:r w:rsidR="00DB5BE0">
        <w:rPr>
          <w:sz w:val="24"/>
          <w:szCs w:val="24"/>
        </w:rPr>
        <w:t>to the application date</w:t>
      </w:r>
      <w:r w:rsidR="00E70FE6">
        <w:rPr>
          <w:sz w:val="24"/>
          <w:szCs w:val="24"/>
        </w:rPr>
        <w:t xml:space="preserve">) </w:t>
      </w:r>
      <w:r w:rsidR="00E70FE6" w:rsidRPr="005A21FC">
        <w:rPr>
          <w:sz w:val="24"/>
          <w:szCs w:val="24"/>
        </w:rPr>
        <w:t>or, if organized and ex</w:t>
      </w:r>
      <w:r w:rsidR="00E70FE6">
        <w:rPr>
          <w:sz w:val="24"/>
          <w:szCs w:val="24"/>
        </w:rPr>
        <w:t xml:space="preserve">isting in another state, </w:t>
      </w:r>
      <w:r w:rsidR="00E70FE6" w:rsidRPr="005A21FC">
        <w:rPr>
          <w:sz w:val="24"/>
          <w:szCs w:val="24"/>
        </w:rPr>
        <w:t xml:space="preserve">be organized and existing </w:t>
      </w:r>
      <w:r w:rsidR="00E70FE6">
        <w:rPr>
          <w:sz w:val="24"/>
          <w:szCs w:val="24"/>
        </w:rPr>
        <w:t xml:space="preserve">under the laws of that state and be </w:t>
      </w:r>
      <w:r w:rsidR="00E70FE6" w:rsidRPr="005A21FC">
        <w:rPr>
          <w:sz w:val="24"/>
          <w:szCs w:val="24"/>
        </w:rPr>
        <w:t>qualified to do business in Tennessee (as evidenced by a Certi</w:t>
      </w:r>
      <w:r w:rsidR="00E70FE6">
        <w:rPr>
          <w:sz w:val="24"/>
          <w:szCs w:val="24"/>
        </w:rPr>
        <w:t xml:space="preserve">ficate of Existence from that state’s Secretary of </w:t>
      </w:r>
      <w:r w:rsidR="00EA3B21">
        <w:rPr>
          <w:sz w:val="24"/>
          <w:szCs w:val="24"/>
        </w:rPr>
        <w:t>S</w:t>
      </w:r>
      <w:r w:rsidR="00E70FE6">
        <w:rPr>
          <w:sz w:val="24"/>
          <w:szCs w:val="24"/>
        </w:rPr>
        <w:t>tate</w:t>
      </w:r>
      <w:r w:rsidR="00E70FE6" w:rsidRPr="005A21FC">
        <w:rPr>
          <w:sz w:val="24"/>
          <w:szCs w:val="24"/>
        </w:rPr>
        <w:t xml:space="preserve"> dated no more than 30 days p</w:t>
      </w:r>
      <w:r w:rsidR="00DB5BE0">
        <w:rPr>
          <w:sz w:val="24"/>
          <w:szCs w:val="24"/>
        </w:rPr>
        <w:t>rior to the application date</w:t>
      </w:r>
      <w:r w:rsidR="00E70FE6" w:rsidRPr="005A21FC">
        <w:rPr>
          <w:sz w:val="24"/>
          <w:szCs w:val="24"/>
        </w:rPr>
        <w:t xml:space="preserve"> and by a Certificate of </w:t>
      </w:r>
      <w:r w:rsidR="00AD071A" w:rsidRPr="005A21FC">
        <w:rPr>
          <w:sz w:val="24"/>
          <w:szCs w:val="24"/>
        </w:rPr>
        <w:t>Authori</w:t>
      </w:r>
      <w:r w:rsidR="00AD071A">
        <w:rPr>
          <w:sz w:val="24"/>
          <w:szCs w:val="24"/>
        </w:rPr>
        <w:t>zation</w:t>
      </w:r>
      <w:r w:rsidR="00AD071A" w:rsidRPr="005A21FC">
        <w:rPr>
          <w:sz w:val="24"/>
          <w:szCs w:val="24"/>
        </w:rPr>
        <w:t xml:space="preserve"> </w:t>
      </w:r>
      <w:r w:rsidR="00E70FE6" w:rsidRPr="005A21FC">
        <w:rPr>
          <w:sz w:val="24"/>
          <w:szCs w:val="24"/>
        </w:rPr>
        <w:t>to do business in Tennessee from the Tenne</w:t>
      </w:r>
      <w:r w:rsidR="00E70FE6">
        <w:rPr>
          <w:sz w:val="24"/>
          <w:szCs w:val="24"/>
        </w:rPr>
        <w:t>ssee Secretary of State</w:t>
      </w:r>
      <w:r w:rsidR="00E70FE6" w:rsidRPr="005A21FC">
        <w:rPr>
          <w:sz w:val="24"/>
          <w:szCs w:val="24"/>
        </w:rPr>
        <w:t>, dated no more than 30 days prior to</w:t>
      </w:r>
      <w:r w:rsidR="00DB5BE0">
        <w:rPr>
          <w:sz w:val="24"/>
          <w:szCs w:val="24"/>
        </w:rPr>
        <w:t xml:space="preserve"> the application date</w:t>
      </w:r>
      <w:r w:rsidR="00E70FE6" w:rsidRPr="0066690E">
        <w:rPr>
          <w:sz w:val="24"/>
          <w:szCs w:val="24"/>
        </w:rPr>
        <w:t>).</w:t>
      </w:r>
    </w:p>
    <w:p w14:paraId="3592B231" w14:textId="7650A5E0" w:rsidR="00A014B0" w:rsidRPr="000456F9" w:rsidRDefault="00716F2F" w:rsidP="00BC7315">
      <w:pPr>
        <w:spacing w:before="240"/>
        <w:jc w:val="both"/>
        <w:rPr>
          <w:sz w:val="24"/>
          <w:szCs w:val="24"/>
        </w:rPr>
      </w:pPr>
      <w:r>
        <w:rPr>
          <w:sz w:val="24"/>
          <w:szCs w:val="24"/>
        </w:rPr>
        <w:t xml:space="preserve">All </w:t>
      </w:r>
      <w:r w:rsidR="00576ECC">
        <w:rPr>
          <w:sz w:val="24"/>
          <w:szCs w:val="24"/>
        </w:rPr>
        <w:t xml:space="preserve">private, </w:t>
      </w:r>
      <w:r w:rsidR="00461AE7">
        <w:rPr>
          <w:sz w:val="24"/>
          <w:szCs w:val="24"/>
        </w:rPr>
        <w:t>non-profit</w:t>
      </w:r>
      <w:r>
        <w:rPr>
          <w:sz w:val="24"/>
          <w:szCs w:val="24"/>
        </w:rPr>
        <w:t xml:space="preserve"> </w:t>
      </w:r>
      <w:r w:rsidR="00576ECC">
        <w:rPr>
          <w:sz w:val="24"/>
          <w:szCs w:val="24"/>
        </w:rPr>
        <w:t>A</w:t>
      </w:r>
      <w:r>
        <w:rPr>
          <w:sz w:val="24"/>
          <w:szCs w:val="24"/>
        </w:rPr>
        <w:t xml:space="preserve">pplicants must demonstrate at least two years of experience providing affordable housing or affordable housing related services in the state of Tennessee. </w:t>
      </w:r>
      <w:r w:rsidR="00954D83">
        <w:rPr>
          <w:sz w:val="24"/>
          <w:szCs w:val="24"/>
        </w:rPr>
        <w:t>Affordable housing related services</w:t>
      </w:r>
      <w:r w:rsidR="003D2893">
        <w:rPr>
          <w:sz w:val="24"/>
          <w:szCs w:val="24"/>
        </w:rPr>
        <w:t xml:space="preserve"> that will assist or sustain an individual in permanent housing, including</w:t>
      </w:r>
      <w:r w:rsidR="00954D83">
        <w:rPr>
          <w:sz w:val="24"/>
          <w:szCs w:val="24"/>
        </w:rPr>
        <w:t xml:space="preserve"> </w:t>
      </w:r>
      <w:r w:rsidR="003D2893">
        <w:rPr>
          <w:sz w:val="24"/>
          <w:szCs w:val="24"/>
        </w:rPr>
        <w:t>but</w:t>
      </w:r>
      <w:r w:rsidR="00954D83">
        <w:rPr>
          <w:sz w:val="24"/>
          <w:szCs w:val="24"/>
        </w:rPr>
        <w:t xml:space="preserve"> </w:t>
      </w:r>
      <w:r w:rsidR="006936CE">
        <w:rPr>
          <w:sz w:val="24"/>
          <w:szCs w:val="24"/>
        </w:rPr>
        <w:t xml:space="preserve">not </w:t>
      </w:r>
      <w:r w:rsidR="00954D83">
        <w:rPr>
          <w:sz w:val="24"/>
          <w:szCs w:val="24"/>
        </w:rPr>
        <w:t>limited to, the provision of down payment assistance</w:t>
      </w:r>
      <w:r w:rsidR="006936CE">
        <w:rPr>
          <w:sz w:val="24"/>
          <w:szCs w:val="24"/>
        </w:rPr>
        <w:t>;</w:t>
      </w:r>
      <w:r w:rsidR="00954D83">
        <w:rPr>
          <w:sz w:val="24"/>
          <w:szCs w:val="24"/>
        </w:rPr>
        <w:t xml:space="preserve"> </w:t>
      </w:r>
      <w:r w:rsidR="00954D83" w:rsidRPr="003D2893">
        <w:rPr>
          <w:sz w:val="24"/>
          <w:szCs w:val="24"/>
        </w:rPr>
        <w:t>home buyer education</w:t>
      </w:r>
      <w:r w:rsidR="006936CE">
        <w:rPr>
          <w:sz w:val="24"/>
          <w:szCs w:val="24"/>
        </w:rPr>
        <w:t>;</w:t>
      </w:r>
      <w:r w:rsidR="00954D83" w:rsidRPr="003D2893">
        <w:rPr>
          <w:sz w:val="24"/>
          <w:szCs w:val="24"/>
        </w:rPr>
        <w:t xml:space="preserve"> </w:t>
      </w:r>
      <w:r w:rsidR="00D43F42" w:rsidRPr="003D2893">
        <w:rPr>
          <w:sz w:val="24"/>
          <w:szCs w:val="24"/>
        </w:rPr>
        <w:t xml:space="preserve">and </w:t>
      </w:r>
      <w:r w:rsidR="00954D83" w:rsidRPr="003D2893">
        <w:rPr>
          <w:sz w:val="24"/>
          <w:szCs w:val="24"/>
        </w:rPr>
        <w:t xml:space="preserve">the delivery of shelter and </w:t>
      </w:r>
      <w:r w:rsidR="00A10976">
        <w:rPr>
          <w:sz w:val="24"/>
          <w:szCs w:val="24"/>
        </w:rPr>
        <w:t xml:space="preserve">related </w:t>
      </w:r>
      <w:r w:rsidR="00954D83" w:rsidRPr="003D2893">
        <w:rPr>
          <w:sz w:val="24"/>
          <w:szCs w:val="24"/>
        </w:rPr>
        <w:t xml:space="preserve">services for </w:t>
      </w:r>
      <w:r w:rsidR="006936CE">
        <w:rPr>
          <w:sz w:val="24"/>
          <w:szCs w:val="24"/>
        </w:rPr>
        <w:t xml:space="preserve">individuals recovering from </w:t>
      </w:r>
      <w:r w:rsidR="00D662E3">
        <w:rPr>
          <w:sz w:val="24"/>
          <w:szCs w:val="24"/>
        </w:rPr>
        <w:t xml:space="preserve">the </w:t>
      </w:r>
      <w:r w:rsidR="00B05A89" w:rsidRPr="00B05A89">
        <w:rPr>
          <w:sz w:val="24"/>
          <w:szCs w:val="24"/>
        </w:rPr>
        <w:t>use of opioids or opioid derivatives</w:t>
      </w:r>
      <w:r w:rsidR="00A10976">
        <w:rPr>
          <w:sz w:val="24"/>
          <w:szCs w:val="24"/>
        </w:rPr>
        <w:t>, the homeless,</w:t>
      </w:r>
      <w:r w:rsidR="00954D83" w:rsidRPr="003D2893">
        <w:rPr>
          <w:sz w:val="24"/>
          <w:szCs w:val="24"/>
        </w:rPr>
        <w:t xml:space="preserve"> and other special needs populations which improve the housing stability of assisted households.</w:t>
      </w:r>
      <w:r w:rsidR="00954D83">
        <w:rPr>
          <w:sz w:val="24"/>
          <w:szCs w:val="24"/>
        </w:rPr>
        <w:t xml:space="preserve">   </w:t>
      </w:r>
      <w:r w:rsidR="00A014B0">
        <w:rPr>
          <w:sz w:val="24"/>
          <w:szCs w:val="24"/>
        </w:rPr>
        <w:t xml:space="preserve"> </w:t>
      </w:r>
    </w:p>
    <w:p w14:paraId="0BCB5060" w14:textId="569E1C9F" w:rsidR="003D2893" w:rsidRPr="00BF7DB0" w:rsidRDefault="00BC7315" w:rsidP="00CF4A9C">
      <w:pPr>
        <w:spacing w:before="240" w:after="360"/>
        <w:jc w:val="both"/>
        <w:rPr>
          <w:sz w:val="24"/>
          <w:szCs w:val="24"/>
        </w:rPr>
      </w:pPr>
      <w:r w:rsidRPr="00E83472">
        <w:rPr>
          <w:sz w:val="24"/>
          <w:szCs w:val="24"/>
        </w:rPr>
        <w:t xml:space="preserve">Applicants with prior </w:t>
      </w:r>
      <w:r w:rsidR="004F2DE6">
        <w:rPr>
          <w:sz w:val="24"/>
          <w:szCs w:val="24"/>
        </w:rPr>
        <w:t xml:space="preserve">THDA THTF </w:t>
      </w:r>
      <w:r w:rsidRPr="00E83472">
        <w:rPr>
          <w:sz w:val="24"/>
          <w:szCs w:val="24"/>
        </w:rPr>
        <w:t xml:space="preserve">Competitive Grants must also have </w:t>
      </w:r>
      <w:r w:rsidRPr="00BF7DB0">
        <w:rPr>
          <w:i/>
          <w:sz w:val="24"/>
          <w:szCs w:val="24"/>
        </w:rPr>
        <w:t>requested</w:t>
      </w:r>
      <w:r w:rsidR="003615B2" w:rsidRPr="00BF7DB0">
        <w:rPr>
          <w:sz w:val="24"/>
          <w:szCs w:val="24"/>
        </w:rPr>
        <w:t xml:space="preserve"> </w:t>
      </w:r>
      <w:r w:rsidRPr="00BF7DB0">
        <w:rPr>
          <w:sz w:val="24"/>
          <w:szCs w:val="24"/>
        </w:rPr>
        <w:t xml:space="preserve">the following percentages of their </w:t>
      </w:r>
      <w:r w:rsidR="00581FCA" w:rsidRPr="00BF7DB0">
        <w:rPr>
          <w:sz w:val="24"/>
          <w:szCs w:val="24"/>
        </w:rPr>
        <w:t xml:space="preserve">prior </w:t>
      </w:r>
      <w:r w:rsidRPr="00BF7DB0">
        <w:rPr>
          <w:sz w:val="24"/>
          <w:szCs w:val="24"/>
        </w:rPr>
        <w:t>grants by</w:t>
      </w:r>
      <w:r w:rsidR="00896095">
        <w:rPr>
          <w:sz w:val="24"/>
          <w:szCs w:val="24"/>
        </w:rPr>
        <w:t xml:space="preserve"> </w:t>
      </w:r>
      <w:r w:rsidR="004F2DE6">
        <w:rPr>
          <w:sz w:val="24"/>
          <w:szCs w:val="24"/>
        </w:rPr>
        <w:t>January 9</w:t>
      </w:r>
      <w:r w:rsidR="00896095">
        <w:rPr>
          <w:sz w:val="24"/>
          <w:szCs w:val="24"/>
        </w:rPr>
        <w:t>, 20</w:t>
      </w:r>
      <w:r w:rsidR="004F2DE6">
        <w:rPr>
          <w:sz w:val="24"/>
          <w:szCs w:val="24"/>
        </w:rPr>
        <w:t>20</w:t>
      </w:r>
      <w:r w:rsidRPr="00BF7DB0">
        <w:rPr>
          <w:sz w:val="24"/>
          <w:szCs w:val="24"/>
        </w:rPr>
        <w:t xml:space="preserve"> to be eligible for the </w:t>
      </w:r>
      <w:r w:rsidR="004F2DE6">
        <w:rPr>
          <w:sz w:val="24"/>
          <w:szCs w:val="24"/>
        </w:rPr>
        <w:t>CHI-2</w:t>
      </w:r>
      <w:r w:rsidRPr="00BF7DB0">
        <w:rPr>
          <w:sz w:val="24"/>
          <w:szCs w:val="24"/>
        </w:rPr>
        <w:t xml:space="preserve"> program</w:t>
      </w:r>
      <w:r w:rsidR="00586DDA" w:rsidRPr="00BF7DB0">
        <w:rPr>
          <w:sz w:val="24"/>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140"/>
      </w:tblGrid>
      <w:tr w:rsidR="000456F9" w:rsidRPr="00BF7DB0" w14:paraId="1A56248B" w14:textId="77777777" w:rsidTr="00FA065B">
        <w:tc>
          <w:tcPr>
            <w:tcW w:w="3420" w:type="dxa"/>
            <w:shd w:val="pct10" w:color="auto" w:fill="FFFFFF"/>
            <w:vAlign w:val="center"/>
          </w:tcPr>
          <w:p w14:paraId="627105BF" w14:textId="77777777" w:rsidR="00BC7315" w:rsidRPr="00BF7DB0" w:rsidRDefault="00BC7315" w:rsidP="00FA065B">
            <w:pPr>
              <w:spacing w:before="60" w:after="60"/>
              <w:jc w:val="center"/>
              <w:rPr>
                <w:b/>
                <w:sz w:val="24"/>
                <w:szCs w:val="24"/>
              </w:rPr>
            </w:pPr>
            <w:r w:rsidRPr="00BF7DB0">
              <w:rPr>
                <w:b/>
                <w:sz w:val="24"/>
                <w:szCs w:val="24"/>
              </w:rPr>
              <w:t>COMPETITIVE GRANT YEAR</w:t>
            </w:r>
          </w:p>
        </w:tc>
        <w:tc>
          <w:tcPr>
            <w:tcW w:w="4140" w:type="dxa"/>
            <w:shd w:val="pct10" w:color="auto" w:fill="FFFFFF"/>
            <w:vAlign w:val="center"/>
          </w:tcPr>
          <w:p w14:paraId="24F65CE3" w14:textId="77777777" w:rsidR="00BC7315" w:rsidRPr="00BF7DB0" w:rsidRDefault="00BC7315" w:rsidP="00FA065B">
            <w:pPr>
              <w:spacing w:before="60" w:after="60"/>
              <w:jc w:val="center"/>
              <w:rPr>
                <w:b/>
                <w:sz w:val="24"/>
                <w:szCs w:val="24"/>
              </w:rPr>
            </w:pPr>
            <w:r w:rsidRPr="00BF7DB0">
              <w:rPr>
                <w:b/>
                <w:sz w:val="24"/>
                <w:szCs w:val="24"/>
              </w:rPr>
              <w:t>SPEND DOWN REQUIREMENT</w:t>
            </w:r>
          </w:p>
        </w:tc>
      </w:tr>
      <w:tr w:rsidR="000456F9" w:rsidRPr="00BF7DB0" w14:paraId="2BF5B901" w14:textId="77777777" w:rsidTr="00143C6B">
        <w:tc>
          <w:tcPr>
            <w:tcW w:w="3420" w:type="dxa"/>
          </w:tcPr>
          <w:p w14:paraId="75C4A52F" w14:textId="5F0778D2" w:rsidR="00BC7315" w:rsidRPr="00E83472" w:rsidRDefault="0035799B" w:rsidP="007F6E11">
            <w:pPr>
              <w:spacing w:before="60" w:after="60"/>
              <w:jc w:val="center"/>
              <w:rPr>
                <w:sz w:val="24"/>
                <w:szCs w:val="24"/>
              </w:rPr>
            </w:pPr>
            <w:r>
              <w:rPr>
                <w:sz w:val="24"/>
                <w:szCs w:val="24"/>
              </w:rPr>
              <w:t xml:space="preserve">2017 </w:t>
            </w:r>
            <w:r w:rsidR="007F6E11">
              <w:rPr>
                <w:sz w:val="24"/>
                <w:szCs w:val="24"/>
              </w:rPr>
              <w:t>Spring</w:t>
            </w:r>
            <w:r w:rsidR="007F6E11" w:rsidRPr="00BF7DB0">
              <w:rPr>
                <w:sz w:val="24"/>
                <w:szCs w:val="24"/>
              </w:rPr>
              <w:t xml:space="preserve"> </w:t>
            </w:r>
            <w:r w:rsidR="009B17BA" w:rsidRPr="00E83472">
              <w:rPr>
                <w:sz w:val="24"/>
                <w:szCs w:val="24"/>
              </w:rPr>
              <w:t>and earlier</w:t>
            </w:r>
          </w:p>
        </w:tc>
        <w:tc>
          <w:tcPr>
            <w:tcW w:w="4140" w:type="dxa"/>
          </w:tcPr>
          <w:p w14:paraId="1402013A" w14:textId="77777777" w:rsidR="00BC7315" w:rsidRPr="00BF7DB0" w:rsidRDefault="00BC7315" w:rsidP="00143C6B">
            <w:pPr>
              <w:spacing w:before="60" w:after="60"/>
              <w:jc w:val="center"/>
              <w:rPr>
                <w:sz w:val="24"/>
                <w:szCs w:val="24"/>
              </w:rPr>
            </w:pPr>
            <w:r w:rsidRPr="00BF7DB0">
              <w:rPr>
                <w:sz w:val="24"/>
                <w:szCs w:val="24"/>
              </w:rPr>
              <w:t>100%</w:t>
            </w:r>
          </w:p>
        </w:tc>
      </w:tr>
      <w:tr w:rsidR="000456F9" w:rsidRPr="00BF7DB0" w14:paraId="72931D4E" w14:textId="77777777" w:rsidTr="00143C6B">
        <w:tc>
          <w:tcPr>
            <w:tcW w:w="3420" w:type="dxa"/>
          </w:tcPr>
          <w:p w14:paraId="08B6BDEF" w14:textId="3503C2E9" w:rsidR="00F719BB" w:rsidRPr="00BF7DB0" w:rsidRDefault="007F6E11" w:rsidP="007F6E11">
            <w:pPr>
              <w:spacing w:before="60" w:after="60"/>
              <w:jc w:val="center"/>
              <w:rPr>
                <w:sz w:val="24"/>
                <w:szCs w:val="24"/>
              </w:rPr>
            </w:pPr>
            <w:r w:rsidRPr="00273B03">
              <w:rPr>
                <w:sz w:val="24"/>
                <w:szCs w:val="24"/>
              </w:rPr>
              <w:t>201</w:t>
            </w:r>
            <w:r>
              <w:rPr>
                <w:sz w:val="24"/>
                <w:szCs w:val="24"/>
              </w:rPr>
              <w:t>8</w:t>
            </w:r>
            <w:r w:rsidRPr="00273B03">
              <w:rPr>
                <w:sz w:val="24"/>
                <w:szCs w:val="24"/>
              </w:rPr>
              <w:t xml:space="preserve"> </w:t>
            </w:r>
            <w:r>
              <w:rPr>
                <w:sz w:val="24"/>
                <w:szCs w:val="24"/>
              </w:rPr>
              <w:t>Fall</w:t>
            </w:r>
          </w:p>
        </w:tc>
        <w:tc>
          <w:tcPr>
            <w:tcW w:w="4140" w:type="dxa"/>
          </w:tcPr>
          <w:p w14:paraId="65A12847" w14:textId="5B5B0DD4" w:rsidR="00F719BB" w:rsidRPr="00BF7DB0" w:rsidRDefault="00AD071A" w:rsidP="0063678C">
            <w:pPr>
              <w:spacing w:before="60" w:after="60"/>
              <w:jc w:val="center"/>
              <w:rPr>
                <w:sz w:val="24"/>
                <w:szCs w:val="24"/>
              </w:rPr>
            </w:pPr>
            <w:r w:rsidRPr="00BF7DB0">
              <w:rPr>
                <w:sz w:val="24"/>
                <w:szCs w:val="24"/>
              </w:rPr>
              <w:t>75</w:t>
            </w:r>
            <w:r w:rsidR="003615B2" w:rsidRPr="00BF7DB0">
              <w:rPr>
                <w:sz w:val="24"/>
                <w:szCs w:val="24"/>
              </w:rPr>
              <w:t>%</w:t>
            </w:r>
          </w:p>
        </w:tc>
      </w:tr>
      <w:tr w:rsidR="000456F9" w:rsidRPr="00BF7DB0" w14:paraId="3E31A795" w14:textId="77777777" w:rsidTr="00143C6B">
        <w:tc>
          <w:tcPr>
            <w:tcW w:w="3420" w:type="dxa"/>
          </w:tcPr>
          <w:p w14:paraId="10D840A9" w14:textId="6C593245" w:rsidR="00A30B72" w:rsidRPr="00BF7DB0" w:rsidRDefault="002E3695" w:rsidP="007F6E11">
            <w:pPr>
              <w:spacing w:before="60" w:after="60"/>
              <w:jc w:val="center"/>
              <w:rPr>
                <w:sz w:val="24"/>
                <w:szCs w:val="24"/>
              </w:rPr>
            </w:pPr>
            <w:r w:rsidRPr="00273B03">
              <w:rPr>
                <w:sz w:val="24"/>
                <w:szCs w:val="24"/>
              </w:rPr>
              <w:t>201</w:t>
            </w:r>
            <w:r w:rsidR="008C0CF7">
              <w:rPr>
                <w:sz w:val="24"/>
                <w:szCs w:val="24"/>
              </w:rPr>
              <w:t>8</w:t>
            </w:r>
            <w:r w:rsidRPr="00273B03">
              <w:rPr>
                <w:sz w:val="24"/>
                <w:szCs w:val="24"/>
              </w:rPr>
              <w:t xml:space="preserve"> </w:t>
            </w:r>
            <w:r w:rsidR="007F6E11">
              <w:rPr>
                <w:sz w:val="24"/>
                <w:szCs w:val="24"/>
              </w:rPr>
              <w:t>Spring</w:t>
            </w:r>
          </w:p>
        </w:tc>
        <w:tc>
          <w:tcPr>
            <w:tcW w:w="4140" w:type="dxa"/>
          </w:tcPr>
          <w:p w14:paraId="533548AB" w14:textId="4F2E6232" w:rsidR="00A30B72" w:rsidRPr="00BF7DB0" w:rsidRDefault="00AD071A" w:rsidP="00143C6B">
            <w:pPr>
              <w:spacing w:before="60" w:after="60"/>
              <w:jc w:val="center"/>
              <w:rPr>
                <w:sz w:val="24"/>
                <w:szCs w:val="24"/>
              </w:rPr>
            </w:pPr>
            <w:r w:rsidRPr="00BF7DB0">
              <w:rPr>
                <w:sz w:val="24"/>
                <w:szCs w:val="24"/>
              </w:rPr>
              <w:t>50</w:t>
            </w:r>
            <w:r w:rsidR="003615B2" w:rsidRPr="00BF7DB0">
              <w:rPr>
                <w:sz w:val="24"/>
                <w:szCs w:val="24"/>
              </w:rPr>
              <w:t>%</w:t>
            </w:r>
          </w:p>
        </w:tc>
      </w:tr>
      <w:tr w:rsidR="000456F9" w:rsidRPr="00BF7DB0" w14:paraId="50CB149D" w14:textId="77777777" w:rsidTr="00143C6B">
        <w:tc>
          <w:tcPr>
            <w:tcW w:w="3420" w:type="dxa"/>
          </w:tcPr>
          <w:p w14:paraId="11F6C258" w14:textId="60B17EAD" w:rsidR="009F5FE6" w:rsidRPr="00BF7DB0" w:rsidRDefault="007F6E11" w:rsidP="007F6E11">
            <w:pPr>
              <w:spacing w:before="60" w:after="60"/>
              <w:jc w:val="center"/>
              <w:rPr>
                <w:sz w:val="24"/>
                <w:szCs w:val="24"/>
              </w:rPr>
            </w:pPr>
            <w:r w:rsidRPr="00273B03">
              <w:rPr>
                <w:sz w:val="24"/>
                <w:szCs w:val="24"/>
              </w:rPr>
              <w:t>201</w:t>
            </w:r>
            <w:r>
              <w:rPr>
                <w:sz w:val="24"/>
                <w:szCs w:val="24"/>
              </w:rPr>
              <w:t>9</w:t>
            </w:r>
            <w:r w:rsidRPr="00273B03">
              <w:rPr>
                <w:sz w:val="24"/>
                <w:szCs w:val="24"/>
              </w:rPr>
              <w:t xml:space="preserve"> </w:t>
            </w:r>
            <w:r>
              <w:rPr>
                <w:sz w:val="24"/>
                <w:szCs w:val="24"/>
              </w:rPr>
              <w:t>Fall</w:t>
            </w:r>
          </w:p>
        </w:tc>
        <w:tc>
          <w:tcPr>
            <w:tcW w:w="4140" w:type="dxa"/>
          </w:tcPr>
          <w:p w14:paraId="428A5AD2" w14:textId="7D6E4BBB" w:rsidR="009F5FE6" w:rsidRPr="00BF7DB0" w:rsidRDefault="00AD071A" w:rsidP="00143C6B">
            <w:pPr>
              <w:spacing w:before="60" w:after="60"/>
              <w:jc w:val="center"/>
              <w:rPr>
                <w:sz w:val="24"/>
                <w:szCs w:val="24"/>
              </w:rPr>
            </w:pPr>
            <w:r w:rsidRPr="00BF7DB0">
              <w:rPr>
                <w:sz w:val="24"/>
                <w:szCs w:val="24"/>
              </w:rPr>
              <w:t>25%</w:t>
            </w:r>
          </w:p>
        </w:tc>
      </w:tr>
      <w:tr w:rsidR="00AD071A" w:rsidRPr="00BF7DB0" w14:paraId="3D1314D2" w14:textId="77777777" w:rsidTr="00143C6B">
        <w:tc>
          <w:tcPr>
            <w:tcW w:w="3420" w:type="dxa"/>
          </w:tcPr>
          <w:p w14:paraId="351150BE" w14:textId="14559442" w:rsidR="00AD071A" w:rsidRPr="00BF7DB0" w:rsidRDefault="00C42ABF" w:rsidP="007F6E11">
            <w:pPr>
              <w:spacing w:before="60" w:after="60"/>
              <w:jc w:val="center"/>
              <w:rPr>
                <w:sz w:val="24"/>
                <w:szCs w:val="24"/>
              </w:rPr>
            </w:pPr>
            <w:r>
              <w:rPr>
                <w:sz w:val="24"/>
                <w:szCs w:val="24"/>
              </w:rPr>
              <w:t>2019</w:t>
            </w:r>
            <w:r w:rsidR="00AD071A" w:rsidRPr="00BF7DB0">
              <w:rPr>
                <w:sz w:val="24"/>
                <w:szCs w:val="24"/>
              </w:rPr>
              <w:t xml:space="preserve"> </w:t>
            </w:r>
            <w:r w:rsidR="007F6E11">
              <w:rPr>
                <w:sz w:val="24"/>
                <w:szCs w:val="24"/>
              </w:rPr>
              <w:t>Spring</w:t>
            </w:r>
          </w:p>
        </w:tc>
        <w:tc>
          <w:tcPr>
            <w:tcW w:w="4140" w:type="dxa"/>
          </w:tcPr>
          <w:p w14:paraId="74535C91" w14:textId="52D70E9F" w:rsidR="00AD071A" w:rsidRPr="00BF7DB0" w:rsidDel="00AD071A" w:rsidRDefault="003D2893" w:rsidP="00143C6B">
            <w:pPr>
              <w:spacing w:before="60" w:after="60"/>
              <w:jc w:val="center"/>
              <w:rPr>
                <w:sz w:val="24"/>
                <w:szCs w:val="24"/>
              </w:rPr>
            </w:pPr>
            <w:r>
              <w:rPr>
                <w:sz w:val="24"/>
                <w:szCs w:val="24"/>
              </w:rPr>
              <w:t>10%</w:t>
            </w:r>
          </w:p>
        </w:tc>
      </w:tr>
      <w:tr w:rsidR="00A74D45" w:rsidRPr="00BF7DB0" w14:paraId="6CCA3009" w14:textId="77777777" w:rsidTr="00143C6B">
        <w:tc>
          <w:tcPr>
            <w:tcW w:w="3420" w:type="dxa"/>
          </w:tcPr>
          <w:p w14:paraId="7A01330F" w14:textId="515190B8" w:rsidR="00A74D45" w:rsidRDefault="00A74D45" w:rsidP="007F6E11">
            <w:pPr>
              <w:spacing w:before="60" w:after="60"/>
              <w:jc w:val="center"/>
              <w:rPr>
                <w:sz w:val="24"/>
                <w:szCs w:val="24"/>
              </w:rPr>
            </w:pPr>
            <w:r>
              <w:rPr>
                <w:sz w:val="24"/>
                <w:szCs w:val="24"/>
              </w:rPr>
              <w:t>2020 Fall</w:t>
            </w:r>
          </w:p>
        </w:tc>
        <w:tc>
          <w:tcPr>
            <w:tcW w:w="4140" w:type="dxa"/>
          </w:tcPr>
          <w:p w14:paraId="1B10C109" w14:textId="6B2515F2" w:rsidR="00A74D45" w:rsidRPr="00BF7DB0" w:rsidRDefault="00A74D45" w:rsidP="00143C6B">
            <w:pPr>
              <w:spacing w:before="60" w:after="60"/>
              <w:jc w:val="center"/>
              <w:rPr>
                <w:sz w:val="24"/>
                <w:szCs w:val="24"/>
              </w:rPr>
            </w:pPr>
            <w:r>
              <w:rPr>
                <w:sz w:val="24"/>
                <w:szCs w:val="24"/>
              </w:rPr>
              <w:t>Not Eligible</w:t>
            </w:r>
          </w:p>
        </w:tc>
      </w:tr>
    </w:tbl>
    <w:p w14:paraId="3631A239" w14:textId="77777777" w:rsidR="00A10976" w:rsidRDefault="009F5FE6" w:rsidP="00C819E8">
      <w:pPr>
        <w:spacing w:before="240"/>
        <w:jc w:val="both"/>
        <w:rPr>
          <w:sz w:val="24"/>
          <w:szCs w:val="24"/>
        </w:rPr>
      </w:pPr>
      <w:r w:rsidRPr="00BF7DB0">
        <w:rPr>
          <w:sz w:val="24"/>
          <w:szCs w:val="24"/>
        </w:rPr>
        <w:t xml:space="preserve">To meet the </w:t>
      </w:r>
      <w:r w:rsidR="003615B2" w:rsidRPr="00BF7DB0">
        <w:rPr>
          <w:sz w:val="24"/>
          <w:szCs w:val="24"/>
        </w:rPr>
        <w:t>“requested” threshold criteria, THDA must have received an official, complete Request for Payment Form with supporting documentation from an Applicant with a prior Competitive</w:t>
      </w:r>
      <w:r w:rsidR="00CF4A9C" w:rsidRPr="00BF7DB0">
        <w:rPr>
          <w:sz w:val="24"/>
          <w:szCs w:val="24"/>
        </w:rPr>
        <w:t xml:space="preserve"> Grant</w:t>
      </w:r>
      <w:r w:rsidRPr="00E83472">
        <w:rPr>
          <w:sz w:val="24"/>
          <w:szCs w:val="24"/>
        </w:rPr>
        <w:t>.</w:t>
      </w:r>
      <w:r w:rsidRPr="000456F9">
        <w:rPr>
          <w:sz w:val="24"/>
          <w:szCs w:val="24"/>
        </w:rPr>
        <w:t xml:space="preserve"> </w:t>
      </w:r>
    </w:p>
    <w:p w14:paraId="19E29B36" w14:textId="25833915" w:rsidR="009F5FE6" w:rsidRPr="000456F9" w:rsidRDefault="009F5FE6" w:rsidP="00C819E8">
      <w:pPr>
        <w:spacing w:before="240"/>
        <w:jc w:val="both"/>
        <w:rPr>
          <w:sz w:val="24"/>
          <w:szCs w:val="24"/>
        </w:rPr>
      </w:pPr>
      <w:r w:rsidRPr="000456F9">
        <w:rPr>
          <w:sz w:val="24"/>
          <w:szCs w:val="24"/>
        </w:rPr>
        <w:lastRenderedPageBreak/>
        <w:t xml:space="preserve"> </w:t>
      </w:r>
    </w:p>
    <w:p w14:paraId="4B8875C9" w14:textId="0851D538" w:rsidR="00DA10DB" w:rsidRPr="003D2893" w:rsidRDefault="00E06B62" w:rsidP="003D2893">
      <w:pPr>
        <w:spacing w:before="280"/>
        <w:ind w:left="360" w:hanging="360"/>
        <w:jc w:val="both"/>
        <w:rPr>
          <w:b/>
          <w:sz w:val="24"/>
          <w:szCs w:val="24"/>
        </w:rPr>
      </w:pPr>
      <w:r>
        <w:rPr>
          <w:b/>
          <w:sz w:val="24"/>
          <w:szCs w:val="24"/>
        </w:rPr>
        <w:t>C</w:t>
      </w:r>
      <w:r w:rsidR="00BC7315" w:rsidRPr="000456F9">
        <w:rPr>
          <w:b/>
          <w:sz w:val="24"/>
          <w:szCs w:val="24"/>
        </w:rPr>
        <w:t>.</w:t>
      </w:r>
      <w:r w:rsidR="00BC7315" w:rsidRPr="000456F9">
        <w:rPr>
          <w:b/>
          <w:sz w:val="24"/>
          <w:szCs w:val="24"/>
        </w:rPr>
        <w:tab/>
        <w:t>ELIGIBLE ACTIVITIES</w:t>
      </w:r>
    </w:p>
    <w:p w14:paraId="4E2604DA" w14:textId="64CEE5B6" w:rsidR="003A4C89" w:rsidRPr="000456F9" w:rsidRDefault="00F215CA" w:rsidP="003C76EE">
      <w:pPr>
        <w:spacing w:before="120"/>
        <w:jc w:val="both"/>
        <w:rPr>
          <w:sz w:val="24"/>
          <w:szCs w:val="24"/>
        </w:rPr>
      </w:pPr>
      <w:r w:rsidRPr="000456F9">
        <w:rPr>
          <w:sz w:val="24"/>
          <w:szCs w:val="24"/>
        </w:rPr>
        <w:t xml:space="preserve">All housing financed using </w:t>
      </w:r>
      <w:r w:rsidR="00A74D45">
        <w:rPr>
          <w:sz w:val="24"/>
          <w:szCs w:val="24"/>
        </w:rPr>
        <w:t>CHI-2</w:t>
      </w:r>
      <w:r w:rsidRPr="000456F9">
        <w:rPr>
          <w:sz w:val="24"/>
          <w:szCs w:val="24"/>
        </w:rPr>
        <w:t xml:space="preserve"> resources must be </w:t>
      </w:r>
      <w:r w:rsidR="00581FCA">
        <w:rPr>
          <w:sz w:val="24"/>
          <w:szCs w:val="24"/>
        </w:rPr>
        <w:t xml:space="preserve">affordable </w:t>
      </w:r>
      <w:r w:rsidRPr="000456F9">
        <w:rPr>
          <w:sz w:val="24"/>
          <w:szCs w:val="24"/>
        </w:rPr>
        <w:t>rental</w:t>
      </w:r>
      <w:r w:rsidR="00581FCA">
        <w:rPr>
          <w:sz w:val="24"/>
          <w:szCs w:val="24"/>
        </w:rPr>
        <w:t xml:space="preserve"> housing</w:t>
      </w:r>
      <w:r w:rsidRPr="000456F9">
        <w:rPr>
          <w:sz w:val="24"/>
          <w:szCs w:val="24"/>
        </w:rPr>
        <w:t xml:space="preserve"> and </w:t>
      </w:r>
      <w:r w:rsidR="00581FCA">
        <w:rPr>
          <w:sz w:val="24"/>
          <w:szCs w:val="24"/>
        </w:rPr>
        <w:t xml:space="preserve">must </w:t>
      </w:r>
      <w:r w:rsidRPr="000456F9">
        <w:rPr>
          <w:sz w:val="24"/>
          <w:szCs w:val="24"/>
        </w:rPr>
        <w:t xml:space="preserve">address the housing needs of households </w:t>
      </w:r>
      <w:r w:rsidR="003A4C89" w:rsidRPr="000456F9">
        <w:rPr>
          <w:sz w:val="24"/>
          <w:szCs w:val="24"/>
        </w:rPr>
        <w:t>who</w:t>
      </w:r>
      <w:r w:rsidR="00A74D45">
        <w:rPr>
          <w:sz w:val="24"/>
          <w:szCs w:val="24"/>
        </w:rPr>
        <w:t xml:space="preserve"> have an income that is equal to or less than </w:t>
      </w:r>
      <w:r w:rsidR="003D2893">
        <w:rPr>
          <w:sz w:val="24"/>
          <w:szCs w:val="24"/>
        </w:rPr>
        <w:t>8</w:t>
      </w:r>
      <w:r w:rsidR="00A74D45" w:rsidRPr="00AC69EF">
        <w:rPr>
          <w:sz w:val="24"/>
          <w:szCs w:val="24"/>
        </w:rPr>
        <w:t>0% of AMI</w:t>
      </w:r>
      <w:r w:rsidR="00A74D45">
        <w:rPr>
          <w:sz w:val="24"/>
          <w:szCs w:val="24"/>
        </w:rPr>
        <w:t xml:space="preserve"> as</w:t>
      </w:r>
      <w:r w:rsidRPr="000456F9">
        <w:rPr>
          <w:sz w:val="24"/>
          <w:szCs w:val="24"/>
        </w:rPr>
        <w:t xml:space="preserve"> defined </w:t>
      </w:r>
      <w:r w:rsidRPr="003C608E">
        <w:rPr>
          <w:sz w:val="24"/>
          <w:szCs w:val="24"/>
        </w:rPr>
        <w:t xml:space="preserve">in Section </w:t>
      </w:r>
      <w:r w:rsidR="00CF4A9C" w:rsidRPr="003C608E">
        <w:rPr>
          <w:sz w:val="24"/>
          <w:szCs w:val="24"/>
        </w:rPr>
        <w:t>F (</w:t>
      </w:r>
      <w:r w:rsidR="003634F5" w:rsidRPr="003C608E">
        <w:rPr>
          <w:sz w:val="24"/>
          <w:szCs w:val="24"/>
        </w:rPr>
        <w:t>4</w:t>
      </w:r>
      <w:r w:rsidR="00CF4A9C" w:rsidRPr="003C608E">
        <w:rPr>
          <w:sz w:val="24"/>
          <w:szCs w:val="24"/>
        </w:rPr>
        <w:t>)</w:t>
      </w:r>
      <w:r w:rsidRPr="003C608E">
        <w:rPr>
          <w:sz w:val="24"/>
          <w:szCs w:val="24"/>
        </w:rPr>
        <w:t>.</w:t>
      </w:r>
      <w:r w:rsidRPr="000456F9">
        <w:rPr>
          <w:sz w:val="24"/>
          <w:szCs w:val="24"/>
        </w:rPr>
        <w:t xml:space="preserve">  </w:t>
      </w:r>
    </w:p>
    <w:p w14:paraId="239509D2" w14:textId="77777777" w:rsidR="003A4C89" w:rsidRPr="000456F9" w:rsidRDefault="003615B2" w:rsidP="003C76EE">
      <w:pPr>
        <w:spacing w:before="120"/>
        <w:jc w:val="both"/>
        <w:rPr>
          <w:sz w:val="24"/>
          <w:szCs w:val="24"/>
        </w:rPr>
      </w:pPr>
      <w:r w:rsidRPr="000456F9">
        <w:rPr>
          <w:sz w:val="24"/>
          <w:szCs w:val="24"/>
        </w:rPr>
        <w:t xml:space="preserve">The following </w:t>
      </w:r>
      <w:r w:rsidR="00F215CA" w:rsidRPr="000456F9">
        <w:rPr>
          <w:sz w:val="24"/>
          <w:szCs w:val="24"/>
        </w:rPr>
        <w:t xml:space="preserve">rental </w:t>
      </w:r>
      <w:r w:rsidRPr="000456F9">
        <w:rPr>
          <w:sz w:val="24"/>
          <w:szCs w:val="24"/>
        </w:rPr>
        <w:t>housing activities are eligible:</w:t>
      </w:r>
    </w:p>
    <w:p w14:paraId="27A682F9" w14:textId="77777777" w:rsidR="00BC7315" w:rsidRPr="000456F9" w:rsidRDefault="00BC7315" w:rsidP="00085EE7">
      <w:pPr>
        <w:pStyle w:val="ListParagraph"/>
        <w:numPr>
          <w:ilvl w:val="0"/>
          <w:numId w:val="5"/>
        </w:numPr>
        <w:spacing w:before="120"/>
        <w:jc w:val="both"/>
        <w:rPr>
          <w:sz w:val="24"/>
          <w:szCs w:val="24"/>
        </w:rPr>
      </w:pPr>
      <w:r w:rsidRPr="000456F9">
        <w:rPr>
          <w:sz w:val="24"/>
          <w:szCs w:val="24"/>
        </w:rPr>
        <w:t xml:space="preserve">New construction of rental housing units. </w:t>
      </w:r>
    </w:p>
    <w:p w14:paraId="39FB6173" w14:textId="77777777" w:rsidR="00BC7315" w:rsidRPr="000456F9" w:rsidRDefault="00BC7315" w:rsidP="00085EE7">
      <w:pPr>
        <w:pStyle w:val="ListParagraph"/>
        <w:numPr>
          <w:ilvl w:val="0"/>
          <w:numId w:val="5"/>
        </w:numPr>
        <w:spacing w:before="120"/>
        <w:contextualSpacing w:val="0"/>
        <w:jc w:val="both"/>
        <w:rPr>
          <w:sz w:val="24"/>
          <w:szCs w:val="24"/>
        </w:rPr>
      </w:pPr>
      <w:r w:rsidRPr="000456F9">
        <w:rPr>
          <w:sz w:val="24"/>
          <w:szCs w:val="24"/>
        </w:rPr>
        <w:t xml:space="preserve">Acquisition of rental housing units. </w:t>
      </w:r>
    </w:p>
    <w:p w14:paraId="7BD64E31" w14:textId="77777777" w:rsidR="00D7553A" w:rsidRPr="000456F9" w:rsidRDefault="00D7553A" w:rsidP="00085EE7">
      <w:pPr>
        <w:pStyle w:val="ListParagraph"/>
        <w:numPr>
          <w:ilvl w:val="0"/>
          <w:numId w:val="5"/>
        </w:numPr>
        <w:spacing w:before="120"/>
        <w:contextualSpacing w:val="0"/>
        <w:jc w:val="both"/>
        <w:rPr>
          <w:sz w:val="24"/>
          <w:szCs w:val="24"/>
        </w:rPr>
      </w:pPr>
      <w:r w:rsidRPr="000456F9">
        <w:rPr>
          <w:sz w:val="24"/>
          <w:szCs w:val="24"/>
        </w:rPr>
        <w:t>Rehabilitation of rental housing units.</w:t>
      </w:r>
    </w:p>
    <w:p w14:paraId="6782B0B3" w14:textId="10B15EE9" w:rsidR="00BC7315" w:rsidRPr="000456F9" w:rsidRDefault="00BC7315" w:rsidP="00085EE7">
      <w:pPr>
        <w:pStyle w:val="ListParagraph"/>
        <w:numPr>
          <w:ilvl w:val="0"/>
          <w:numId w:val="5"/>
        </w:numPr>
        <w:spacing w:before="120"/>
        <w:contextualSpacing w:val="0"/>
        <w:jc w:val="both"/>
        <w:rPr>
          <w:sz w:val="24"/>
          <w:szCs w:val="24"/>
        </w:rPr>
      </w:pPr>
      <w:r w:rsidRPr="000456F9">
        <w:rPr>
          <w:sz w:val="24"/>
          <w:szCs w:val="24"/>
        </w:rPr>
        <w:t xml:space="preserve">Conversion of non-residential </w:t>
      </w:r>
      <w:r w:rsidR="003D2893">
        <w:rPr>
          <w:sz w:val="24"/>
          <w:szCs w:val="24"/>
        </w:rPr>
        <w:t>buildings</w:t>
      </w:r>
      <w:r w:rsidRPr="000456F9">
        <w:rPr>
          <w:sz w:val="24"/>
          <w:szCs w:val="24"/>
        </w:rPr>
        <w:t xml:space="preserve"> to residential units.</w:t>
      </w:r>
    </w:p>
    <w:p w14:paraId="1BC1A975" w14:textId="77777777" w:rsidR="00BC7315" w:rsidRPr="000456F9" w:rsidRDefault="00BC7315" w:rsidP="00085EE7">
      <w:pPr>
        <w:pStyle w:val="ListParagraph"/>
        <w:numPr>
          <w:ilvl w:val="0"/>
          <w:numId w:val="5"/>
        </w:numPr>
        <w:spacing w:before="120"/>
        <w:contextualSpacing w:val="0"/>
        <w:jc w:val="both"/>
        <w:rPr>
          <w:sz w:val="24"/>
          <w:szCs w:val="24"/>
        </w:rPr>
      </w:pPr>
      <w:r w:rsidRPr="000456F9">
        <w:rPr>
          <w:sz w:val="24"/>
          <w:szCs w:val="24"/>
        </w:rPr>
        <w:t>Combinations of the above.</w:t>
      </w:r>
    </w:p>
    <w:p w14:paraId="4F801ACF" w14:textId="27311A1A" w:rsidR="00022212" w:rsidRPr="00A74D45" w:rsidRDefault="00E117B4" w:rsidP="00A74D45">
      <w:pPr>
        <w:spacing w:before="120"/>
        <w:jc w:val="both"/>
        <w:rPr>
          <w:sz w:val="24"/>
          <w:szCs w:val="24"/>
        </w:rPr>
      </w:pPr>
      <w:r w:rsidRPr="000456F9">
        <w:rPr>
          <w:sz w:val="24"/>
          <w:szCs w:val="24"/>
        </w:rPr>
        <w:t xml:space="preserve">The rental housing provided </w:t>
      </w:r>
      <w:r w:rsidR="00A74D45">
        <w:rPr>
          <w:sz w:val="24"/>
          <w:szCs w:val="24"/>
        </w:rPr>
        <w:t xml:space="preserve">must </w:t>
      </w:r>
      <w:r w:rsidRPr="000456F9">
        <w:rPr>
          <w:sz w:val="24"/>
          <w:szCs w:val="24"/>
        </w:rPr>
        <w:t xml:space="preserve">be </w:t>
      </w:r>
      <w:r w:rsidR="00A74D45">
        <w:rPr>
          <w:sz w:val="24"/>
          <w:szCs w:val="24"/>
        </w:rPr>
        <w:t>“</w:t>
      </w:r>
      <w:r w:rsidRPr="000456F9">
        <w:rPr>
          <w:sz w:val="24"/>
          <w:szCs w:val="24"/>
        </w:rPr>
        <w:t>permanent</w:t>
      </w:r>
      <w:r w:rsidR="00A74D45">
        <w:rPr>
          <w:sz w:val="24"/>
          <w:szCs w:val="24"/>
        </w:rPr>
        <w:t>”, meaning</w:t>
      </w:r>
      <w:r w:rsidR="00022212" w:rsidRPr="000456F9">
        <w:rPr>
          <w:sz w:val="24"/>
          <w:szCs w:val="24"/>
        </w:rPr>
        <w:t xml:space="preserve"> </w:t>
      </w:r>
      <w:r w:rsidR="00A74D45">
        <w:rPr>
          <w:sz w:val="24"/>
          <w:szCs w:val="24"/>
        </w:rPr>
        <w:t>the hous</w:t>
      </w:r>
      <w:r w:rsidR="00022212" w:rsidRPr="00A74D45">
        <w:rPr>
          <w:sz w:val="24"/>
          <w:szCs w:val="24"/>
        </w:rPr>
        <w:t>i</w:t>
      </w:r>
      <w:r w:rsidR="00A74D45">
        <w:rPr>
          <w:sz w:val="24"/>
          <w:szCs w:val="24"/>
        </w:rPr>
        <w:t>ng is c</w:t>
      </w:r>
      <w:r w:rsidR="003320E2" w:rsidRPr="00A74D45">
        <w:rPr>
          <w:sz w:val="24"/>
          <w:szCs w:val="24"/>
        </w:rPr>
        <w:t xml:space="preserve">ommunity-based </w:t>
      </w:r>
      <w:r w:rsidR="00A74D45">
        <w:rPr>
          <w:sz w:val="24"/>
          <w:szCs w:val="24"/>
        </w:rPr>
        <w:t xml:space="preserve">and </w:t>
      </w:r>
      <w:r w:rsidR="003320E2" w:rsidRPr="00A74D45">
        <w:rPr>
          <w:sz w:val="24"/>
          <w:szCs w:val="24"/>
        </w:rPr>
        <w:t xml:space="preserve">with a tenant on a lease (or a sublease) for an initial term of </w:t>
      </w:r>
      <w:r w:rsidR="003D2893">
        <w:rPr>
          <w:sz w:val="24"/>
          <w:szCs w:val="24"/>
        </w:rPr>
        <w:t>at least one month</w:t>
      </w:r>
      <w:r w:rsidR="003320E2" w:rsidRPr="00A74D45">
        <w:rPr>
          <w:sz w:val="24"/>
          <w:szCs w:val="24"/>
        </w:rPr>
        <w:t xml:space="preserve"> </w:t>
      </w:r>
      <w:r w:rsidR="003D2893">
        <w:rPr>
          <w:sz w:val="24"/>
          <w:szCs w:val="24"/>
        </w:rPr>
        <w:t xml:space="preserve">and </w:t>
      </w:r>
      <w:r w:rsidR="003320E2" w:rsidRPr="00A74D45">
        <w:rPr>
          <w:sz w:val="24"/>
          <w:szCs w:val="24"/>
        </w:rPr>
        <w:t xml:space="preserve">that is renewable and is terminable only for cause. </w:t>
      </w:r>
    </w:p>
    <w:p w14:paraId="4A13EB90" w14:textId="089EAA03" w:rsidR="007775EF" w:rsidRPr="004603A6" w:rsidRDefault="007775EF" w:rsidP="004603A6">
      <w:pPr>
        <w:spacing w:before="120"/>
        <w:jc w:val="both"/>
        <w:rPr>
          <w:b/>
          <w:sz w:val="24"/>
          <w:szCs w:val="24"/>
        </w:rPr>
      </w:pPr>
      <w:r>
        <w:rPr>
          <w:sz w:val="24"/>
          <w:szCs w:val="24"/>
        </w:rPr>
        <w:t xml:space="preserve">All </w:t>
      </w:r>
      <w:r w:rsidRPr="000456F9">
        <w:rPr>
          <w:sz w:val="24"/>
          <w:szCs w:val="24"/>
        </w:rPr>
        <w:t xml:space="preserve">Applicants </w:t>
      </w:r>
      <w:r>
        <w:rPr>
          <w:sz w:val="24"/>
          <w:szCs w:val="24"/>
        </w:rPr>
        <w:t>shall</w:t>
      </w:r>
      <w:r w:rsidRPr="000456F9">
        <w:rPr>
          <w:sz w:val="24"/>
          <w:szCs w:val="24"/>
        </w:rPr>
        <w:t xml:space="preserve"> complete </w:t>
      </w:r>
      <w:r w:rsidRPr="000456F9">
        <w:rPr>
          <w:i/>
          <w:sz w:val="24"/>
          <w:szCs w:val="24"/>
        </w:rPr>
        <w:t>Attachment Two: Rental Housing Feasibility Worksheet</w:t>
      </w:r>
      <w:r w:rsidRPr="000456F9">
        <w:rPr>
          <w:b/>
          <w:sz w:val="24"/>
          <w:szCs w:val="24"/>
        </w:rPr>
        <w:t xml:space="preserve"> </w:t>
      </w:r>
      <w:r w:rsidRPr="000456F9">
        <w:rPr>
          <w:sz w:val="24"/>
          <w:szCs w:val="24"/>
        </w:rPr>
        <w:t xml:space="preserve">to demonstrate a need for the </w:t>
      </w:r>
      <w:r>
        <w:rPr>
          <w:sz w:val="24"/>
          <w:szCs w:val="24"/>
        </w:rPr>
        <w:t>CHI-2</w:t>
      </w:r>
      <w:r w:rsidRPr="000456F9">
        <w:rPr>
          <w:sz w:val="24"/>
          <w:szCs w:val="24"/>
        </w:rPr>
        <w:t xml:space="preserve"> funds and the financial feasibility of the project.  </w:t>
      </w:r>
    </w:p>
    <w:p w14:paraId="63A7F08F" w14:textId="2A40ED41" w:rsidR="00BC7315" w:rsidRDefault="003A4C89" w:rsidP="006C5D11">
      <w:pPr>
        <w:pStyle w:val="BodyText2"/>
        <w:tabs>
          <w:tab w:val="left" w:pos="-1530"/>
          <w:tab w:val="left" w:pos="360"/>
        </w:tabs>
        <w:spacing w:before="280"/>
        <w:rPr>
          <w:b/>
          <w:szCs w:val="24"/>
        </w:rPr>
      </w:pPr>
      <w:r w:rsidRPr="000456F9">
        <w:rPr>
          <w:b/>
          <w:szCs w:val="24"/>
        </w:rPr>
        <w:t>D</w:t>
      </w:r>
      <w:r w:rsidR="00BC7315" w:rsidRPr="000456F9">
        <w:rPr>
          <w:b/>
          <w:szCs w:val="24"/>
        </w:rPr>
        <w:t>.</w:t>
      </w:r>
      <w:r w:rsidR="00BC7315" w:rsidRPr="000456F9">
        <w:rPr>
          <w:b/>
          <w:szCs w:val="24"/>
        </w:rPr>
        <w:tab/>
        <w:t>PROHIBITED ACTIVITIES</w:t>
      </w:r>
    </w:p>
    <w:p w14:paraId="4D7AAE9E" w14:textId="6C2C2AA7" w:rsidR="006A6B02" w:rsidRPr="00815213" w:rsidRDefault="00AC69EF" w:rsidP="006C5D11">
      <w:pPr>
        <w:pStyle w:val="BodyText2"/>
        <w:tabs>
          <w:tab w:val="left" w:pos="-1530"/>
          <w:tab w:val="left" w:pos="360"/>
        </w:tabs>
        <w:spacing w:before="280"/>
        <w:rPr>
          <w:szCs w:val="24"/>
        </w:rPr>
      </w:pPr>
      <w:r>
        <w:rPr>
          <w:szCs w:val="24"/>
        </w:rPr>
        <w:t>An Applicant</w:t>
      </w:r>
      <w:r w:rsidR="006A6B02">
        <w:rPr>
          <w:szCs w:val="24"/>
        </w:rPr>
        <w:t xml:space="preserve"> may not use the </w:t>
      </w:r>
      <w:r>
        <w:rPr>
          <w:szCs w:val="24"/>
        </w:rPr>
        <w:t>CHI-2 resources</w:t>
      </w:r>
      <w:r w:rsidR="006A6B02">
        <w:rPr>
          <w:szCs w:val="24"/>
        </w:rPr>
        <w:t xml:space="preserve"> for any of the following:</w:t>
      </w:r>
    </w:p>
    <w:p w14:paraId="7DF66480" w14:textId="25D405AF" w:rsidR="00C62AAF" w:rsidRDefault="00C62AAF" w:rsidP="00085EE7">
      <w:pPr>
        <w:numPr>
          <w:ilvl w:val="0"/>
          <w:numId w:val="2"/>
        </w:numPr>
        <w:tabs>
          <w:tab w:val="clear" w:pos="360"/>
          <w:tab w:val="num" w:pos="720"/>
        </w:tabs>
        <w:spacing w:before="240"/>
        <w:ind w:left="720"/>
        <w:jc w:val="both"/>
        <w:rPr>
          <w:sz w:val="24"/>
          <w:szCs w:val="24"/>
        </w:rPr>
      </w:pPr>
      <w:r>
        <w:rPr>
          <w:sz w:val="24"/>
          <w:szCs w:val="24"/>
        </w:rPr>
        <w:t>Develop transitional housing.</w:t>
      </w:r>
    </w:p>
    <w:p w14:paraId="3CC49875" w14:textId="3B8ACE84" w:rsidR="00BC7315" w:rsidRPr="000456F9" w:rsidRDefault="00BC7315" w:rsidP="00085EE7">
      <w:pPr>
        <w:numPr>
          <w:ilvl w:val="0"/>
          <w:numId w:val="2"/>
        </w:numPr>
        <w:tabs>
          <w:tab w:val="clear" w:pos="360"/>
          <w:tab w:val="num" w:pos="720"/>
        </w:tabs>
        <w:spacing w:before="240"/>
        <w:ind w:left="720"/>
        <w:jc w:val="both"/>
        <w:rPr>
          <w:sz w:val="24"/>
          <w:szCs w:val="24"/>
        </w:rPr>
      </w:pPr>
      <w:r w:rsidRPr="000456F9">
        <w:rPr>
          <w:sz w:val="24"/>
          <w:szCs w:val="24"/>
        </w:rPr>
        <w:t xml:space="preserve">Pledge </w:t>
      </w:r>
      <w:r w:rsidR="00AC69EF">
        <w:rPr>
          <w:sz w:val="24"/>
          <w:szCs w:val="24"/>
        </w:rPr>
        <w:t>CHI-2</w:t>
      </w:r>
      <w:r w:rsidR="004603A6">
        <w:rPr>
          <w:sz w:val="24"/>
          <w:szCs w:val="24"/>
        </w:rPr>
        <w:t xml:space="preserve"> funds as support for tax-</w:t>
      </w:r>
      <w:r w:rsidRPr="000456F9">
        <w:rPr>
          <w:sz w:val="24"/>
          <w:szCs w:val="24"/>
        </w:rPr>
        <w:t>exempt borrowing by local grantees</w:t>
      </w:r>
      <w:r w:rsidR="009F5D12" w:rsidRPr="000456F9">
        <w:rPr>
          <w:sz w:val="24"/>
          <w:szCs w:val="24"/>
        </w:rPr>
        <w:t>.</w:t>
      </w:r>
    </w:p>
    <w:p w14:paraId="5D1999AB" w14:textId="77777777" w:rsidR="00BC7315" w:rsidRPr="000456F9" w:rsidRDefault="00BC7315" w:rsidP="00085EE7">
      <w:pPr>
        <w:numPr>
          <w:ilvl w:val="0"/>
          <w:numId w:val="2"/>
        </w:numPr>
        <w:tabs>
          <w:tab w:val="clear" w:pos="360"/>
          <w:tab w:val="num" w:pos="720"/>
        </w:tabs>
        <w:spacing w:before="240"/>
        <w:ind w:left="720"/>
        <w:jc w:val="both"/>
        <w:rPr>
          <w:sz w:val="24"/>
          <w:szCs w:val="24"/>
        </w:rPr>
      </w:pPr>
      <w:r w:rsidRPr="000456F9">
        <w:rPr>
          <w:sz w:val="24"/>
          <w:szCs w:val="24"/>
        </w:rPr>
        <w:t>Provide off-site improvements or neighborhood infrastructure or public facility improvements</w:t>
      </w:r>
      <w:r w:rsidR="009F5D12" w:rsidRPr="000456F9">
        <w:rPr>
          <w:sz w:val="24"/>
          <w:szCs w:val="24"/>
        </w:rPr>
        <w:t>.</w:t>
      </w:r>
    </w:p>
    <w:p w14:paraId="550FFAF3" w14:textId="466D9227" w:rsidR="00BC7315" w:rsidRPr="005F33E6" w:rsidRDefault="00BC7315" w:rsidP="00085EE7">
      <w:pPr>
        <w:numPr>
          <w:ilvl w:val="0"/>
          <w:numId w:val="2"/>
        </w:numPr>
        <w:tabs>
          <w:tab w:val="clear" w:pos="360"/>
          <w:tab w:val="num" w:pos="720"/>
        </w:tabs>
        <w:spacing w:before="240"/>
        <w:ind w:left="720"/>
        <w:jc w:val="both"/>
        <w:rPr>
          <w:sz w:val="24"/>
          <w:szCs w:val="24"/>
        </w:rPr>
      </w:pPr>
      <w:r w:rsidRPr="005F33E6">
        <w:rPr>
          <w:sz w:val="24"/>
          <w:szCs w:val="24"/>
        </w:rPr>
        <w:t xml:space="preserve">Provide assistance to private, for-profit </w:t>
      </w:r>
      <w:r w:rsidRPr="000A2806">
        <w:rPr>
          <w:sz w:val="24"/>
          <w:szCs w:val="24"/>
        </w:rPr>
        <w:t xml:space="preserve">owners of rental property.  </w:t>
      </w:r>
    </w:p>
    <w:p w14:paraId="611B2D7E" w14:textId="6D3EF5E0" w:rsidR="00BC7315" w:rsidRPr="000456F9" w:rsidRDefault="0044609E" w:rsidP="00085EE7">
      <w:pPr>
        <w:numPr>
          <w:ilvl w:val="0"/>
          <w:numId w:val="2"/>
        </w:numPr>
        <w:tabs>
          <w:tab w:val="clear" w:pos="360"/>
          <w:tab w:val="num" w:pos="720"/>
        </w:tabs>
        <w:spacing w:before="240"/>
        <w:ind w:left="720"/>
        <w:jc w:val="both"/>
        <w:rPr>
          <w:sz w:val="24"/>
          <w:szCs w:val="24"/>
        </w:rPr>
      </w:pPr>
      <w:r>
        <w:rPr>
          <w:sz w:val="24"/>
          <w:szCs w:val="24"/>
        </w:rPr>
        <w:t>Implement h</w:t>
      </w:r>
      <w:r w:rsidR="00BC7315" w:rsidRPr="000456F9">
        <w:rPr>
          <w:sz w:val="24"/>
          <w:szCs w:val="24"/>
        </w:rPr>
        <w:t>omeowner rehabilitation projects.</w:t>
      </w:r>
    </w:p>
    <w:p w14:paraId="6AAD2638" w14:textId="044657DE" w:rsidR="00505EDF" w:rsidRPr="000456F9" w:rsidRDefault="0044609E" w:rsidP="00085EE7">
      <w:pPr>
        <w:numPr>
          <w:ilvl w:val="0"/>
          <w:numId w:val="2"/>
        </w:numPr>
        <w:tabs>
          <w:tab w:val="clear" w:pos="360"/>
          <w:tab w:val="num" w:pos="720"/>
        </w:tabs>
        <w:spacing w:before="240"/>
        <w:ind w:left="720"/>
        <w:jc w:val="both"/>
        <w:rPr>
          <w:sz w:val="24"/>
          <w:szCs w:val="24"/>
        </w:rPr>
      </w:pPr>
      <w:r>
        <w:rPr>
          <w:sz w:val="24"/>
          <w:szCs w:val="24"/>
        </w:rPr>
        <w:t>Implement h</w:t>
      </w:r>
      <w:r w:rsidR="00505EDF" w:rsidRPr="000456F9">
        <w:rPr>
          <w:sz w:val="24"/>
          <w:szCs w:val="24"/>
        </w:rPr>
        <w:t xml:space="preserve">omeownership </w:t>
      </w:r>
      <w:r w:rsidR="004603A6">
        <w:rPr>
          <w:sz w:val="24"/>
          <w:szCs w:val="24"/>
        </w:rPr>
        <w:t xml:space="preserve">related </w:t>
      </w:r>
      <w:r w:rsidR="00505EDF" w:rsidRPr="000456F9">
        <w:rPr>
          <w:sz w:val="24"/>
          <w:szCs w:val="24"/>
        </w:rPr>
        <w:t>activities, including down</w:t>
      </w:r>
      <w:r w:rsidR="00A30B72" w:rsidRPr="000456F9">
        <w:rPr>
          <w:sz w:val="24"/>
          <w:szCs w:val="24"/>
        </w:rPr>
        <w:t xml:space="preserve"> </w:t>
      </w:r>
      <w:r w:rsidR="004603A6">
        <w:rPr>
          <w:sz w:val="24"/>
          <w:szCs w:val="24"/>
        </w:rPr>
        <w:t xml:space="preserve">payment assistance programs, </w:t>
      </w:r>
      <w:r w:rsidR="00505EDF" w:rsidRPr="000456F9">
        <w:rPr>
          <w:sz w:val="24"/>
          <w:szCs w:val="24"/>
        </w:rPr>
        <w:t>the development of units for homeownership</w:t>
      </w:r>
      <w:r w:rsidR="004603A6">
        <w:rPr>
          <w:sz w:val="24"/>
          <w:szCs w:val="24"/>
        </w:rPr>
        <w:t>, or homeowner rehabilitation projects</w:t>
      </w:r>
      <w:r w:rsidR="00505EDF" w:rsidRPr="000456F9">
        <w:rPr>
          <w:sz w:val="24"/>
          <w:szCs w:val="24"/>
        </w:rPr>
        <w:t>.</w:t>
      </w:r>
    </w:p>
    <w:p w14:paraId="0FA01E52" w14:textId="0FA2B570" w:rsidR="009F5D12" w:rsidRDefault="0044609E" w:rsidP="00085EE7">
      <w:pPr>
        <w:numPr>
          <w:ilvl w:val="0"/>
          <w:numId w:val="2"/>
        </w:numPr>
        <w:tabs>
          <w:tab w:val="clear" w:pos="360"/>
          <w:tab w:val="num" w:pos="720"/>
        </w:tabs>
        <w:spacing w:before="240"/>
        <w:ind w:left="720"/>
        <w:jc w:val="both"/>
        <w:rPr>
          <w:sz w:val="24"/>
          <w:szCs w:val="24"/>
        </w:rPr>
      </w:pPr>
      <w:r>
        <w:rPr>
          <w:sz w:val="24"/>
          <w:szCs w:val="24"/>
        </w:rPr>
        <w:t>Acquire, rehabilit</w:t>
      </w:r>
      <w:r w:rsidR="009012D2">
        <w:rPr>
          <w:sz w:val="24"/>
          <w:szCs w:val="24"/>
        </w:rPr>
        <w:t>at</w:t>
      </w:r>
      <w:r>
        <w:rPr>
          <w:sz w:val="24"/>
          <w:szCs w:val="24"/>
        </w:rPr>
        <w:t>e or construct r</w:t>
      </w:r>
      <w:r w:rsidR="009F5D12" w:rsidRPr="000456F9">
        <w:rPr>
          <w:sz w:val="24"/>
          <w:szCs w:val="24"/>
        </w:rPr>
        <w:t xml:space="preserve">ental housing that is a treatment, hospice, nursing home, or convalescent facility.  </w:t>
      </w:r>
    </w:p>
    <w:p w14:paraId="7017452E" w14:textId="383A90DA" w:rsidR="007D6A8C" w:rsidRDefault="004603A6" w:rsidP="00085EE7">
      <w:pPr>
        <w:numPr>
          <w:ilvl w:val="0"/>
          <w:numId w:val="2"/>
        </w:numPr>
        <w:tabs>
          <w:tab w:val="clear" w:pos="360"/>
          <w:tab w:val="num" w:pos="720"/>
        </w:tabs>
        <w:spacing w:before="240"/>
        <w:ind w:left="720"/>
        <w:jc w:val="both"/>
        <w:rPr>
          <w:sz w:val="24"/>
          <w:szCs w:val="24"/>
        </w:rPr>
      </w:pPr>
      <w:r>
        <w:rPr>
          <w:sz w:val="24"/>
          <w:szCs w:val="24"/>
        </w:rPr>
        <w:t xml:space="preserve">Use funds to provide </w:t>
      </w:r>
      <w:r w:rsidR="007D6A8C">
        <w:rPr>
          <w:sz w:val="24"/>
          <w:szCs w:val="24"/>
        </w:rPr>
        <w:t>Project Operating Reserves</w:t>
      </w:r>
    </w:p>
    <w:p w14:paraId="041DEA52" w14:textId="5CF717E2" w:rsidR="006C5D11" w:rsidRDefault="006E6BA4" w:rsidP="00085EE7">
      <w:pPr>
        <w:numPr>
          <w:ilvl w:val="0"/>
          <w:numId w:val="2"/>
        </w:numPr>
        <w:tabs>
          <w:tab w:val="clear" w:pos="360"/>
          <w:tab w:val="num" w:pos="720"/>
        </w:tabs>
        <w:spacing w:before="240"/>
        <w:ind w:left="720"/>
        <w:jc w:val="both"/>
        <w:rPr>
          <w:sz w:val="24"/>
          <w:szCs w:val="24"/>
        </w:rPr>
      </w:pPr>
      <w:r>
        <w:rPr>
          <w:sz w:val="24"/>
          <w:szCs w:val="24"/>
        </w:rPr>
        <w:lastRenderedPageBreak/>
        <w:t>C</w:t>
      </w:r>
      <w:r w:rsidR="0044609E">
        <w:rPr>
          <w:sz w:val="24"/>
          <w:szCs w:val="24"/>
        </w:rPr>
        <w:t xml:space="preserve">over </w:t>
      </w:r>
      <w:r w:rsidR="004603A6">
        <w:rPr>
          <w:sz w:val="24"/>
          <w:szCs w:val="24"/>
        </w:rPr>
        <w:t xml:space="preserve">any </w:t>
      </w:r>
      <w:r w:rsidR="0044609E">
        <w:rPr>
          <w:sz w:val="24"/>
          <w:szCs w:val="24"/>
        </w:rPr>
        <w:t>c</w:t>
      </w:r>
      <w:r>
        <w:rPr>
          <w:sz w:val="24"/>
          <w:szCs w:val="24"/>
        </w:rPr>
        <w:t xml:space="preserve">osts incurred prior to the </w:t>
      </w:r>
      <w:r w:rsidR="00C62AAF">
        <w:rPr>
          <w:sz w:val="24"/>
          <w:szCs w:val="24"/>
        </w:rPr>
        <w:t>CHI-2</w:t>
      </w:r>
      <w:r>
        <w:rPr>
          <w:sz w:val="24"/>
          <w:szCs w:val="24"/>
        </w:rPr>
        <w:t xml:space="preserve"> contract start date</w:t>
      </w:r>
      <w:r w:rsidR="004603A6">
        <w:rPr>
          <w:sz w:val="24"/>
          <w:szCs w:val="24"/>
        </w:rPr>
        <w:t xml:space="preserve"> or after the end date of the grant agreement</w:t>
      </w:r>
      <w:r>
        <w:rPr>
          <w:sz w:val="24"/>
          <w:szCs w:val="24"/>
        </w:rPr>
        <w:t xml:space="preserve">.  </w:t>
      </w:r>
    </w:p>
    <w:p w14:paraId="0E5C309E" w14:textId="35A59334" w:rsidR="000215F3" w:rsidRPr="00B37135" w:rsidRDefault="000215F3" w:rsidP="00085EE7">
      <w:pPr>
        <w:numPr>
          <w:ilvl w:val="0"/>
          <w:numId w:val="2"/>
        </w:numPr>
        <w:tabs>
          <w:tab w:val="clear" w:pos="360"/>
          <w:tab w:val="num" w:pos="720"/>
        </w:tabs>
        <w:spacing w:before="240"/>
        <w:ind w:left="720"/>
        <w:jc w:val="both"/>
        <w:rPr>
          <w:sz w:val="24"/>
          <w:szCs w:val="24"/>
        </w:rPr>
      </w:pPr>
      <w:r>
        <w:rPr>
          <w:sz w:val="24"/>
          <w:szCs w:val="24"/>
        </w:rPr>
        <w:t xml:space="preserve">Use of Tennessee Housing Trust Fund Competitive Grants Program resources for any costs associated with the project. </w:t>
      </w:r>
    </w:p>
    <w:p w14:paraId="0AB30197" w14:textId="77777777" w:rsidR="00BC7315" w:rsidRPr="000456F9" w:rsidRDefault="003A4C89" w:rsidP="006C5D11">
      <w:pPr>
        <w:tabs>
          <w:tab w:val="left" w:pos="360"/>
        </w:tabs>
        <w:spacing w:before="280" w:line="276" w:lineRule="auto"/>
        <w:rPr>
          <w:b/>
          <w:sz w:val="24"/>
          <w:szCs w:val="24"/>
        </w:rPr>
      </w:pPr>
      <w:r w:rsidRPr="000456F9">
        <w:rPr>
          <w:b/>
          <w:sz w:val="24"/>
          <w:szCs w:val="24"/>
        </w:rPr>
        <w:t>E</w:t>
      </w:r>
      <w:r w:rsidR="00BC7315" w:rsidRPr="000456F9">
        <w:rPr>
          <w:b/>
          <w:sz w:val="24"/>
          <w:szCs w:val="24"/>
        </w:rPr>
        <w:t>.</w:t>
      </w:r>
      <w:r w:rsidR="00BC7315" w:rsidRPr="000456F9">
        <w:rPr>
          <w:b/>
          <w:sz w:val="24"/>
          <w:szCs w:val="24"/>
        </w:rPr>
        <w:tab/>
        <w:t>MATCH</w:t>
      </w:r>
    </w:p>
    <w:p w14:paraId="2F0A4742" w14:textId="025A6ADD" w:rsidR="00A70F3F" w:rsidRDefault="00BC7315" w:rsidP="00BC7315">
      <w:pPr>
        <w:spacing w:before="240"/>
        <w:jc w:val="both"/>
        <w:rPr>
          <w:sz w:val="24"/>
          <w:szCs w:val="24"/>
        </w:rPr>
      </w:pPr>
      <w:r w:rsidRPr="000456F9">
        <w:rPr>
          <w:sz w:val="24"/>
          <w:szCs w:val="24"/>
        </w:rPr>
        <w:t xml:space="preserve">Proposals </w:t>
      </w:r>
      <w:r w:rsidR="00A10976" w:rsidRPr="00A10976">
        <w:rPr>
          <w:sz w:val="24"/>
          <w:szCs w:val="24"/>
        </w:rPr>
        <w:t xml:space="preserve">are </w:t>
      </w:r>
      <w:r w:rsidR="00A10976" w:rsidRPr="00A10976">
        <w:rPr>
          <w:sz w:val="24"/>
          <w:szCs w:val="24"/>
          <w:u w:val="single"/>
        </w:rPr>
        <w:t>not</w:t>
      </w:r>
      <w:r w:rsidR="00A10976" w:rsidRPr="00A10976">
        <w:rPr>
          <w:sz w:val="24"/>
          <w:szCs w:val="24"/>
        </w:rPr>
        <w:t xml:space="preserve"> required</w:t>
      </w:r>
      <w:r w:rsidR="00A10976">
        <w:rPr>
          <w:sz w:val="24"/>
          <w:szCs w:val="24"/>
        </w:rPr>
        <w:t xml:space="preserve"> to match the CHI-2 funds awarded. However,</w:t>
      </w:r>
      <w:r w:rsidR="00460B70">
        <w:rPr>
          <w:sz w:val="24"/>
          <w:szCs w:val="24"/>
        </w:rPr>
        <w:t xml:space="preserve"> THDA will prioritize</w:t>
      </w:r>
      <w:r w:rsidR="00A10976">
        <w:rPr>
          <w:sz w:val="24"/>
          <w:szCs w:val="24"/>
        </w:rPr>
        <w:t xml:space="preserve"> </w:t>
      </w:r>
      <w:r w:rsidR="00460B70">
        <w:rPr>
          <w:sz w:val="24"/>
          <w:szCs w:val="24"/>
        </w:rPr>
        <w:t xml:space="preserve">those </w:t>
      </w:r>
      <w:r w:rsidR="00A10976">
        <w:rPr>
          <w:sz w:val="24"/>
          <w:szCs w:val="24"/>
        </w:rPr>
        <w:t xml:space="preserve">applications </w:t>
      </w:r>
      <w:r w:rsidR="00460B70">
        <w:rPr>
          <w:sz w:val="24"/>
          <w:szCs w:val="24"/>
        </w:rPr>
        <w:t>that</w:t>
      </w:r>
      <w:r w:rsidR="00A10976">
        <w:rPr>
          <w:sz w:val="24"/>
          <w:szCs w:val="24"/>
        </w:rPr>
        <w:t xml:space="preserve"> include </w:t>
      </w:r>
      <w:r w:rsidR="0068753C">
        <w:rPr>
          <w:sz w:val="24"/>
          <w:szCs w:val="24"/>
        </w:rPr>
        <w:t xml:space="preserve">firm documentation </w:t>
      </w:r>
      <w:r w:rsidR="00A10976">
        <w:rPr>
          <w:sz w:val="24"/>
          <w:szCs w:val="24"/>
        </w:rPr>
        <w:t xml:space="preserve">of eligible match </w:t>
      </w:r>
      <w:r w:rsidR="0068753C">
        <w:rPr>
          <w:sz w:val="24"/>
          <w:szCs w:val="24"/>
        </w:rPr>
        <w:t>sources to</w:t>
      </w:r>
      <w:r w:rsidR="006E6BA4">
        <w:rPr>
          <w:sz w:val="24"/>
          <w:szCs w:val="24"/>
        </w:rPr>
        <w:t xml:space="preserve"> </w:t>
      </w:r>
      <w:r w:rsidR="00E83373">
        <w:rPr>
          <w:sz w:val="24"/>
          <w:szCs w:val="24"/>
        </w:rPr>
        <w:t xml:space="preserve">the </w:t>
      </w:r>
      <w:r w:rsidR="004603A6">
        <w:rPr>
          <w:sz w:val="24"/>
          <w:szCs w:val="24"/>
        </w:rPr>
        <w:t>CHI-2</w:t>
      </w:r>
      <w:r w:rsidR="00E83373">
        <w:rPr>
          <w:sz w:val="24"/>
          <w:szCs w:val="24"/>
        </w:rPr>
        <w:t xml:space="preserve"> </w:t>
      </w:r>
      <w:r w:rsidR="004603A6">
        <w:rPr>
          <w:sz w:val="24"/>
          <w:szCs w:val="24"/>
        </w:rPr>
        <w:t>funds</w:t>
      </w:r>
      <w:r w:rsidR="00E83373">
        <w:rPr>
          <w:sz w:val="24"/>
          <w:szCs w:val="24"/>
        </w:rPr>
        <w:t xml:space="preserve"> awarded.</w:t>
      </w:r>
      <w:r w:rsidR="00273B03">
        <w:rPr>
          <w:sz w:val="24"/>
          <w:szCs w:val="24"/>
        </w:rPr>
        <w:t xml:space="preserve"> </w:t>
      </w:r>
    </w:p>
    <w:p w14:paraId="56DA231B" w14:textId="0BDA93D4" w:rsidR="001904CE" w:rsidRPr="005F36D9" w:rsidRDefault="00031976" w:rsidP="00BC7315">
      <w:pPr>
        <w:spacing w:before="240"/>
        <w:jc w:val="both"/>
        <w:rPr>
          <w:b/>
          <w:sz w:val="24"/>
          <w:szCs w:val="24"/>
        </w:rPr>
      </w:pPr>
      <w:r w:rsidRPr="005F36D9">
        <w:rPr>
          <w:b/>
          <w:sz w:val="24"/>
          <w:szCs w:val="24"/>
        </w:rPr>
        <w:t xml:space="preserve">Eligible </w:t>
      </w:r>
      <w:r w:rsidR="004B68E5">
        <w:rPr>
          <w:b/>
          <w:sz w:val="24"/>
          <w:szCs w:val="24"/>
        </w:rPr>
        <w:t>S</w:t>
      </w:r>
      <w:r w:rsidRPr="005F36D9">
        <w:rPr>
          <w:b/>
          <w:sz w:val="24"/>
          <w:szCs w:val="24"/>
        </w:rPr>
        <w:t xml:space="preserve">ources of </w:t>
      </w:r>
      <w:r w:rsidR="004B68E5">
        <w:rPr>
          <w:b/>
          <w:sz w:val="24"/>
          <w:szCs w:val="24"/>
        </w:rPr>
        <w:t>M</w:t>
      </w:r>
      <w:r w:rsidRPr="005F36D9">
        <w:rPr>
          <w:b/>
          <w:sz w:val="24"/>
          <w:szCs w:val="24"/>
        </w:rPr>
        <w:t xml:space="preserve">atch </w:t>
      </w:r>
      <w:r w:rsidR="004B68E5">
        <w:rPr>
          <w:b/>
          <w:sz w:val="24"/>
          <w:szCs w:val="24"/>
        </w:rPr>
        <w:t>I</w:t>
      </w:r>
      <w:r w:rsidRPr="005F36D9">
        <w:rPr>
          <w:b/>
          <w:sz w:val="24"/>
          <w:szCs w:val="24"/>
        </w:rPr>
        <w:t>nclude:</w:t>
      </w:r>
    </w:p>
    <w:p w14:paraId="08562882" w14:textId="65C76596" w:rsidR="00031976" w:rsidRDefault="004B68E5" w:rsidP="00085EE7">
      <w:pPr>
        <w:pStyle w:val="ListParagraph"/>
        <w:numPr>
          <w:ilvl w:val="0"/>
          <w:numId w:val="14"/>
        </w:numPr>
        <w:tabs>
          <w:tab w:val="left" w:pos="1170"/>
          <w:tab w:val="left" w:pos="1440"/>
        </w:tabs>
        <w:spacing w:before="240"/>
        <w:jc w:val="both"/>
        <w:rPr>
          <w:sz w:val="24"/>
          <w:szCs w:val="24"/>
        </w:rPr>
      </w:pPr>
      <w:r w:rsidRPr="005F36D9">
        <w:rPr>
          <w:sz w:val="24"/>
          <w:szCs w:val="24"/>
        </w:rPr>
        <w:t>G</w:t>
      </w:r>
      <w:r w:rsidR="00031976" w:rsidRPr="005F36D9">
        <w:rPr>
          <w:sz w:val="24"/>
          <w:szCs w:val="24"/>
        </w:rPr>
        <w:t>rants from other agencies</w:t>
      </w:r>
      <w:r w:rsidRPr="005F36D9">
        <w:rPr>
          <w:sz w:val="24"/>
          <w:szCs w:val="24"/>
        </w:rPr>
        <w:t>.</w:t>
      </w:r>
      <w:r w:rsidR="00031976" w:rsidRPr="005F36D9">
        <w:rPr>
          <w:sz w:val="24"/>
          <w:szCs w:val="24"/>
        </w:rPr>
        <w:t xml:space="preserve"> </w:t>
      </w:r>
    </w:p>
    <w:p w14:paraId="32FAC18D" w14:textId="77777777" w:rsidR="00765305" w:rsidRPr="005F36D9" w:rsidRDefault="00765305" w:rsidP="005F36D9">
      <w:pPr>
        <w:pStyle w:val="ListParagraph"/>
        <w:tabs>
          <w:tab w:val="left" w:pos="1170"/>
          <w:tab w:val="left" w:pos="1440"/>
        </w:tabs>
        <w:spacing w:before="240"/>
        <w:jc w:val="both"/>
        <w:rPr>
          <w:sz w:val="24"/>
          <w:szCs w:val="24"/>
        </w:rPr>
      </w:pPr>
    </w:p>
    <w:p w14:paraId="3BDFA8CE" w14:textId="386B9128" w:rsidR="00031976" w:rsidRDefault="004B68E5" w:rsidP="00085EE7">
      <w:pPr>
        <w:pStyle w:val="ListParagraph"/>
        <w:numPr>
          <w:ilvl w:val="0"/>
          <w:numId w:val="14"/>
        </w:numPr>
        <w:spacing w:before="240"/>
        <w:jc w:val="both"/>
        <w:rPr>
          <w:sz w:val="24"/>
          <w:szCs w:val="24"/>
        </w:rPr>
      </w:pPr>
      <w:r w:rsidRPr="005F36D9">
        <w:rPr>
          <w:sz w:val="24"/>
          <w:szCs w:val="24"/>
        </w:rPr>
        <w:t>F</w:t>
      </w:r>
      <w:r w:rsidR="00031976" w:rsidRPr="005F36D9">
        <w:rPr>
          <w:sz w:val="24"/>
          <w:szCs w:val="24"/>
        </w:rPr>
        <w:t xml:space="preserve">ederal sources such as </w:t>
      </w:r>
      <w:r w:rsidR="00E651FE" w:rsidRPr="005F36D9">
        <w:rPr>
          <w:sz w:val="24"/>
          <w:szCs w:val="24"/>
        </w:rPr>
        <w:t>USDA Rural Development</w:t>
      </w:r>
      <w:r w:rsidR="00E651FE">
        <w:rPr>
          <w:sz w:val="24"/>
          <w:szCs w:val="24"/>
        </w:rPr>
        <w:t xml:space="preserve">, state or locally administered </w:t>
      </w:r>
      <w:r w:rsidR="00031976" w:rsidRPr="005F36D9">
        <w:rPr>
          <w:sz w:val="24"/>
          <w:szCs w:val="24"/>
        </w:rPr>
        <w:t>Community Development Block Grant (CDBG) program</w:t>
      </w:r>
      <w:r w:rsidR="00E651FE">
        <w:rPr>
          <w:sz w:val="24"/>
          <w:szCs w:val="24"/>
        </w:rPr>
        <w:t>s,</w:t>
      </w:r>
      <w:r w:rsidR="00031976" w:rsidRPr="005F36D9">
        <w:rPr>
          <w:sz w:val="24"/>
          <w:szCs w:val="24"/>
        </w:rPr>
        <w:t xml:space="preserve"> or</w:t>
      </w:r>
      <w:r w:rsidR="00E651FE">
        <w:rPr>
          <w:sz w:val="24"/>
          <w:szCs w:val="24"/>
        </w:rPr>
        <w:t xml:space="preserve"> HOME grants from local participating jurisdictions.</w:t>
      </w:r>
    </w:p>
    <w:p w14:paraId="28108F19" w14:textId="77777777" w:rsidR="00765305" w:rsidRPr="005F36D9" w:rsidRDefault="00765305" w:rsidP="005F36D9">
      <w:pPr>
        <w:pStyle w:val="ListParagraph"/>
        <w:rPr>
          <w:sz w:val="24"/>
          <w:szCs w:val="24"/>
        </w:rPr>
      </w:pPr>
    </w:p>
    <w:p w14:paraId="3D93B615" w14:textId="11AC6B99" w:rsidR="004603A6" w:rsidRDefault="004603A6" w:rsidP="00085EE7">
      <w:pPr>
        <w:pStyle w:val="ListParagraph"/>
        <w:numPr>
          <w:ilvl w:val="0"/>
          <w:numId w:val="14"/>
        </w:numPr>
        <w:spacing w:before="240"/>
        <w:jc w:val="both"/>
        <w:rPr>
          <w:sz w:val="24"/>
          <w:szCs w:val="24"/>
        </w:rPr>
      </w:pPr>
      <w:r>
        <w:rPr>
          <w:sz w:val="24"/>
          <w:szCs w:val="24"/>
        </w:rPr>
        <w:t>Federal Home Loan Bank</w:t>
      </w:r>
      <w:r w:rsidR="00E651FE">
        <w:rPr>
          <w:sz w:val="24"/>
          <w:szCs w:val="24"/>
        </w:rPr>
        <w:t>.</w:t>
      </w:r>
      <w:r>
        <w:rPr>
          <w:sz w:val="24"/>
          <w:szCs w:val="24"/>
        </w:rPr>
        <w:t xml:space="preserve"> </w:t>
      </w:r>
    </w:p>
    <w:p w14:paraId="66BD0CD5" w14:textId="77777777" w:rsidR="004603A6" w:rsidRPr="004603A6" w:rsidRDefault="004603A6" w:rsidP="004603A6">
      <w:pPr>
        <w:pStyle w:val="ListParagraph"/>
        <w:rPr>
          <w:sz w:val="24"/>
          <w:szCs w:val="24"/>
        </w:rPr>
      </w:pPr>
    </w:p>
    <w:p w14:paraId="024839D6" w14:textId="7B0302EA" w:rsidR="00031976" w:rsidRDefault="004B68E5" w:rsidP="00085EE7">
      <w:pPr>
        <w:pStyle w:val="ListParagraph"/>
        <w:numPr>
          <w:ilvl w:val="0"/>
          <w:numId w:val="14"/>
        </w:numPr>
        <w:spacing w:before="240"/>
        <w:jc w:val="both"/>
        <w:rPr>
          <w:sz w:val="24"/>
          <w:szCs w:val="24"/>
        </w:rPr>
      </w:pPr>
      <w:r w:rsidRPr="005F36D9">
        <w:rPr>
          <w:sz w:val="24"/>
          <w:szCs w:val="24"/>
        </w:rPr>
        <w:t>Cash C</w:t>
      </w:r>
      <w:r w:rsidR="00031976" w:rsidRPr="005F36D9">
        <w:rPr>
          <w:sz w:val="24"/>
          <w:szCs w:val="24"/>
        </w:rPr>
        <w:t>ontributions by local church groups, local agencies, or contributions by individuals</w:t>
      </w:r>
      <w:r w:rsidRPr="005F36D9">
        <w:rPr>
          <w:sz w:val="24"/>
          <w:szCs w:val="24"/>
        </w:rPr>
        <w:t>.</w:t>
      </w:r>
      <w:r w:rsidR="00031976" w:rsidRPr="005F36D9">
        <w:rPr>
          <w:sz w:val="24"/>
          <w:szCs w:val="24"/>
        </w:rPr>
        <w:t xml:space="preserve"> </w:t>
      </w:r>
    </w:p>
    <w:p w14:paraId="6C3761A4" w14:textId="77777777" w:rsidR="00765305" w:rsidRPr="005F36D9" w:rsidRDefault="00765305" w:rsidP="005F36D9">
      <w:pPr>
        <w:pStyle w:val="ListParagraph"/>
        <w:rPr>
          <w:sz w:val="24"/>
          <w:szCs w:val="24"/>
        </w:rPr>
      </w:pPr>
    </w:p>
    <w:p w14:paraId="444F1D49" w14:textId="126076B8" w:rsidR="00031976" w:rsidRDefault="004B68E5" w:rsidP="00085EE7">
      <w:pPr>
        <w:pStyle w:val="ListParagraph"/>
        <w:numPr>
          <w:ilvl w:val="0"/>
          <w:numId w:val="14"/>
        </w:numPr>
        <w:spacing w:before="240"/>
        <w:jc w:val="both"/>
        <w:rPr>
          <w:sz w:val="24"/>
          <w:szCs w:val="24"/>
        </w:rPr>
      </w:pPr>
      <w:r w:rsidRPr="005F36D9">
        <w:rPr>
          <w:sz w:val="24"/>
          <w:szCs w:val="24"/>
        </w:rPr>
        <w:t>B</w:t>
      </w:r>
      <w:r w:rsidR="00031976" w:rsidRPr="005F36D9">
        <w:rPr>
          <w:sz w:val="24"/>
          <w:szCs w:val="24"/>
        </w:rPr>
        <w:t>ank loans</w:t>
      </w:r>
      <w:r w:rsidRPr="005F36D9">
        <w:rPr>
          <w:sz w:val="24"/>
          <w:szCs w:val="24"/>
        </w:rPr>
        <w:t>.</w:t>
      </w:r>
      <w:r w:rsidR="00031976" w:rsidRPr="005F36D9">
        <w:rPr>
          <w:sz w:val="24"/>
          <w:szCs w:val="24"/>
        </w:rPr>
        <w:t xml:space="preserve"> </w:t>
      </w:r>
    </w:p>
    <w:p w14:paraId="107F5D44" w14:textId="77777777" w:rsidR="00765305" w:rsidRPr="005F36D9" w:rsidRDefault="00765305" w:rsidP="005F36D9">
      <w:pPr>
        <w:pStyle w:val="ListParagraph"/>
        <w:rPr>
          <w:sz w:val="24"/>
          <w:szCs w:val="24"/>
        </w:rPr>
      </w:pPr>
    </w:p>
    <w:p w14:paraId="52B3C8E5" w14:textId="7F13F5FA" w:rsidR="00031976" w:rsidRDefault="004B68E5" w:rsidP="00085EE7">
      <w:pPr>
        <w:pStyle w:val="ListParagraph"/>
        <w:numPr>
          <w:ilvl w:val="0"/>
          <w:numId w:val="14"/>
        </w:numPr>
        <w:spacing w:before="240"/>
        <w:jc w:val="both"/>
        <w:rPr>
          <w:sz w:val="24"/>
          <w:szCs w:val="24"/>
        </w:rPr>
      </w:pPr>
      <w:r w:rsidRPr="005F36D9">
        <w:rPr>
          <w:sz w:val="24"/>
          <w:szCs w:val="24"/>
        </w:rPr>
        <w:t>A</w:t>
      </w:r>
      <w:r w:rsidR="00031976" w:rsidRPr="005F36D9">
        <w:rPr>
          <w:sz w:val="24"/>
          <w:szCs w:val="24"/>
        </w:rPr>
        <w:t xml:space="preserve"> funding pool established by a local lender for the applicant</w:t>
      </w:r>
      <w:r w:rsidRPr="005F36D9">
        <w:rPr>
          <w:sz w:val="24"/>
          <w:szCs w:val="24"/>
        </w:rPr>
        <w:t>.</w:t>
      </w:r>
    </w:p>
    <w:p w14:paraId="132C6E13" w14:textId="77777777" w:rsidR="00765305" w:rsidRPr="005F36D9" w:rsidRDefault="00765305" w:rsidP="005F36D9">
      <w:pPr>
        <w:pStyle w:val="ListParagraph"/>
        <w:rPr>
          <w:sz w:val="24"/>
          <w:szCs w:val="24"/>
        </w:rPr>
      </w:pPr>
    </w:p>
    <w:p w14:paraId="489278BB" w14:textId="6AD96600" w:rsidR="00031976" w:rsidRDefault="00C62AAF" w:rsidP="00085EE7">
      <w:pPr>
        <w:pStyle w:val="ListParagraph"/>
        <w:numPr>
          <w:ilvl w:val="0"/>
          <w:numId w:val="14"/>
        </w:numPr>
        <w:spacing w:before="240"/>
        <w:jc w:val="both"/>
        <w:rPr>
          <w:sz w:val="24"/>
          <w:szCs w:val="24"/>
        </w:rPr>
      </w:pPr>
      <w:r>
        <w:rPr>
          <w:sz w:val="24"/>
          <w:szCs w:val="24"/>
        </w:rPr>
        <w:t>Value of the s</w:t>
      </w:r>
      <w:r w:rsidR="00031976" w:rsidRPr="005F36D9">
        <w:rPr>
          <w:sz w:val="24"/>
          <w:szCs w:val="24"/>
        </w:rPr>
        <w:t xml:space="preserve">upportive services provided </w:t>
      </w:r>
      <w:r>
        <w:rPr>
          <w:sz w:val="24"/>
          <w:szCs w:val="24"/>
        </w:rPr>
        <w:t xml:space="preserve">to the individuals recovering from </w:t>
      </w:r>
      <w:r w:rsidR="00D662E3">
        <w:rPr>
          <w:sz w:val="24"/>
          <w:szCs w:val="24"/>
        </w:rPr>
        <w:t>the use of opioids or opioid derivatives</w:t>
      </w:r>
      <w:r>
        <w:rPr>
          <w:sz w:val="24"/>
          <w:szCs w:val="24"/>
        </w:rPr>
        <w:t xml:space="preserve"> </w:t>
      </w:r>
      <w:r w:rsidR="003A4842">
        <w:rPr>
          <w:sz w:val="24"/>
          <w:szCs w:val="24"/>
        </w:rPr>
        <w:t xml:space="preserve">over the length of the applicable compliance </w:t>
      </w:r>
      <w:r w:rsidR="003C608E">
        <w:rPr>
          <w:sz w:val="24"/>
          <w:szCs w:val="24"/>
        </w:rPr>
        <w:t xml:space="preserve">period, provided that such supportive services are provided at no cost to the tenant.  </w:t>
      </w:r>
    </w:p>
    <w:p w14:paraId="777B8A02" w14:textId="77777777" w:rsidR="003A4842" w:rsidRPr="00A70F3F" w:rsidRDefault="003A4842" w:rsidP="00A70F3F">
      <w:pPr>
        <w:pStyle w:val="ListParagraph"/>
        <w:rPr>
          <w:sz w:val="24"/>
          <w:szCs w:val="24"/>
        </w:rPr>
      </w:pPr>
    </w:p>
    <w:p w14:paraId="39E4B0F6" w14:textId="46DFA8E8" w:rsidR="00E651FE" w:rsidRPr="00E651FE" w:rsidRDefault="003A4842" w:rsidP="00085EE7">
      <w:pPr>
        <w:pStyle w:val="ListParagraph"/>
        <w:numPr>
          <w:ilvl w:val="0"/>
          <w:numId w:val="14"/>
        </w:numPr>
        <w:spacing w:before="240"/>
        <w:jc w:val="both"/>
        <w:rPr>
          <w:sz w:val="24"/>
          <w:szCs w:val="24"/>
        </w:rPr>
      </w:pPr>
      <w:r w:rsidRPr="00E651FE">
        <w:rPr>
          <w:sz w:val="24"/>
          <w:szCs w:val="24"/>
        </w:rPr>
        <w:t>Rental assistance tied to the property. To be eligible, the commitment of rental assistance must extend beyond the end of the grant term</w:t>
      </w:r>
      <w:r w:rsidR="009F35E5" w:rsidRPr="00E651FE">
        <w:rPr>
          <w:sz w:val="24"/>
          <w:szCs w:val="24"/>
        </w:rPr>
        <w:t>. For purposes of application scoring, THDA will only count</w:t>
      </w:r>
      <w:r w:rsidRPr="00E651FE">
        <w:rPr>
          <w:sz w:val="24"/>
          <w:szCs w:val="24"/>
        </w:rPr>
        <w:t xml:space="preserve"> that value of rental assistance </w:t>
      </w:r>
      <w:r w:rsidR="004603A6" w:rsidRPr="00E651FE">
        <w:rPr>
          <w:sz w:val="24"/>
          <w:szCs w:val="24"/>
        </w:rPr>
        <w:t xml:space="preserve">after the date of </w:t>
      </w:r>
      <w:r w:rsidR="00E651FE" w:rsidRPr="00E651FE">
        <w:rPr>
          <w:sz w:val="24"/>
          <w:szCs w:val="24"/>
        </w:rPr>
        <w:t xml:space="preserve">the certificate of occupancy issued for the </w:t>
      </w:r>
      <w:r w:rsidR="003C608E">
        <w:rPr>
          <w:sz w:val="24"/>
          <w:szCs w:val="24"/>
        </w:rPr>
        <w:t xml:space="preserve">last </w:t>
      </w:r>
      <w:r w:rsidR="00E651FE" w:rsidRPr="00E651FE">
        <w:rPr>
          <w:sz w:val="24"/>
          <w:szCs w:val="24"/>
        </w:rPr>
        <w:t xml:space="preserve">building occupied.  </w:t>
      </w:r>
    </w:p>
    <w:p w14:paraId="64B71D57" w14:textId="77777777" w:rsidR="00E651FE" w:rsidRDefault="00E651FE" w:rsidP="00E651FE">
      <w:pPr>
        <w:pStyle w:val="ListParagraph"/>
        <w:spacing w:before="240"/>
        <w:jc w:val="both"/>
        <w:rPr>
          <w:sz w:val="24"/>
          <w:szCs w:val="24"/>
        </w:rPr>
      </w:pPr>
    </w:p>
    <w:p w14:paraId="2189F903" w14:textId="71B344C6" w:rsidR="00031976" w:rsidRDefault="00031976" w:rsidP="00085EE7">
      <w:pPr>
        <w:pStyle w:val="ListParagraph"/>
        <w:numPr>
          <w:ilvl w:val="0"/>
          <w:numId w:val="14"/>
        </w:numPr>
        <w:spacing w:before="240"/>
        <w:jc w:val="both"/>
        <w:rPr>
          <w:sz w:val="24"/>
          <w:szCs w:val="24"/>
        </w:rPr>
      </w:pPr>
      <w:r w:rsidRPr="005F36D9">
        <w:rPr>
          <w:sz w:val="24"/>
          <w:szCs w:val="24"/>
        </w:rPr>
        <w:t xml:space="preserve">The value of property owned by the </w:t>
      </w:r>
      <w:r w:rsidR="00BA54E4">
        <w:rPr>
          <w:sz w:val="24"/>
          <w:szCs w:val="24"/>
        </w:rPr>
        <w:t>A</w:t>
      </w:r>
      <w:r w:rsidRPr="005F36D9">
        <w:rPr>
          <w:sz w:val="24"/>
          <w:szCs w:val="24"/>
        </w:rPr>
        <w:t>pplicant</w:t>
      </w:r>
      <w:r w:rsidR="00E651FE">
        <w:rPr>
          <w:sz w:val="24"/>
          <w:szCs w:val="24"/>
        </w:rPr>
        <w:t xml:space="preserve"> prior to the grant term and</w:t>
      </w:r>
      <w:r w:rsidRPr="005F36D9">
        <w:rPr>
          <w:sz w:val="24"/>
          <w:szCs w:val="24"/>
        </w:rPr>
        <w:t xml:space="preserve"> upon which the proposed </w:t>
      </w:r>
      <w:r w:rsidR="004B68E5" w:rsidRPr="005F36D9">
        <w:rPr>
          <w:sz w:val="24"/>
          <w:szCs w:val="24"/>
        </w:rPr>
        <w:t>housing</w:t>
      </w:r>
      <w:r w:rsidRPr="005F36D9">
        <w:rPr>
          <w:sz w:val="24"/>
          <w:szCs w:val="24"/>
        </w:rPr>
        <w:t xml:space="preserve"> will be rehabilitated or constructed</w:t>
      </w:r>
      <w:r w:rsidR="004B68E5" w:rsidRPr="005F36D9">
        <w:rPr>
          <w:sz w:val="24"/>
          <w:szCs w:val="24"/>
        </w:rPr>
        <w:t>.</w:t>
      </w:r>
    </w:p>
    <w:p w14:paraId="67411F89" w14:textId="1EA88BAD" w:rsidR="004B68E5" w:rsidRDefault="004B68E5" w:rsidP="00BC7315">
      <w:pPr>
        <w:spacing w:before="240"/>
        <w:jc w:val="both"/>
        <w:rPr>
          <w:b/>
          <w:sz w:val="24"/>
          <w:szCs w:val="24"/>
        </w:rPr>
      </w:pPr>
      <w:r w:rsidRPr="005F36D9">
        <w:rPr>
          <w:b/>
          <w:sz w:val="24"/>
          <w:szCs w:val="24"/>
        </w:rPr>
        <w:t xml:space="preserve">Ineligible Sources of </w:t>
      </w:r>
      <w:r w:rsidRPr="004B68E5">
        <w:rPr>
          <w:b/>
          <w:sz w:val="24"/>
          <w:szCs w:val="24"/>
        </w:rPr>
        <w:t>M</w:t>
      </w:r>
      <w:r w:rsidRPr="005F36D9">
        <w:rPr>
          <w:b/>
          <w:sz w:val="24"/>
          <w:szCs w:val="24"/>
        </w:rPr>
        <w:t>atch:</w:t>
      </w:r>
    </w:p>
    <w:p w14:paraId="799418F4" w14:textId="1CA20DE0" w:rsidR="00765305" w:rsidRDefault="004B68E5" w:rsidP="00085EE7">
      <w:pPr>
        <w:pStyle w:val="ListParagraph"/>
        <w:numPr>
          <w:ilvl w:val="0"/>
          <w:numId w:val="15"/>
        </w:numPr>
        <w:spacing w:before="240"/>
        <w:ind w:left="720"/>
        <w:jc w:val="both"/>
        <w:rPr>
          <w:sz w:val="24"/>
          <w:szCs w:val="24"/>
        </w:rPr>
      </w:pPr>
      <w:r w:rsidRPr="00E651FE">
        <w:rPr>
          <w:sz w:val="24"/>
          <w:szCs w:val="24"/>
        </w:rPr>
        <w:t>THDA program funds</w:t>
      </w:r>
      <w:r w:rsidR="004746AD" w:rsidRPr="00E651FE">
        <w:rPr>
          <w:sz w:val="24"/>
          <w:szCs w:val="24"/>
        </w:rPr>
        <w:t>, in</w:t>
      </w:r>
      <w:r w:rsidR="00E651FE">
        <w:rPr>
          <w:sz w:val="24"/>
          <w:szCs w:val="24"/>
        </w:rPr>
        <w:t>cluding federal funding sources such as HOME or the National Housing Trust Fund or the Tennessee Housing Trust Fund financed Competitive Grants Program.</w:t>
      </w:r>
    </w:p>
    <w:p w14:paraId="7465306C" w14:textId="7FA22FAA" w:rsidR="0068753C" w:rsidRPr="005F36D9" w:rsidRDefault="004B68E5" w:rsidP="00374385">
      <w:pPr>
        <w:pStyle w:val="ListParagraph"/>
        <w:numPr>
          <w:ilvl w:val="0"/>
          <w:numId w:val="15"/>
        </w:numPr>
        <w:spacing w:before="240"/>
        <w:ind w:left="720"/>
        <w:jc w:val="both"/>
      </w:pPr>
      <w:r w:rsidRPr="005F36D9">
        <w:rPr>
          <w:sz w:val="24"/>
          <w:szCs w:val="24"/>
        </w:rPr>
        <w:t>In</w:t>
      </w:r>
      <w:r w:rsidR="00C41B47">
        <w:rPr>
          <w:sz w:val="24"/>
          <w:szCs w:val="24"/>
        </w:rPr>
        <w:t>-</w:t>
      </w:r>
      <w:r w:rsidRPr="005F36D9">
        <w:rPr>
          <w:sz w:val="24"/>
          <w:szCs w:val="24"/>
        </w:rPr>
        <w:t>kind donations, services, or labor.</w:t>
      </w:r>
    </w:p>
    <w:p w14:paraId="5E630E36" w14:textId="77777777" w:rsidR="00BC7315" w:rsidRPr="000456F9" w:rsidRDefault="003A4C89" w:rsidP="006C5D11">
      <w:pPr>
        <w:tabs>
          <w:tab w:val="left" w:pos="360"/>
        </w:tabs>
        <w:spacing w:before="280"/>
        <w:jc w:val="both"/>
        <w:rPr>
          <w:b/>
          <w:sz w:val="24"/>
          <w:szCs w:val="24"/>
        </w:rPr>
      </w:pPr>
      <w:r w:rsidRPr="000456F9">
        <w:rPr>
          <w:b/>
          <w:sz w:val="24"/>
          <w:szCs w:val="24"/>
        </w:rPr>
        <w:lastRenderedPageBreak/>
        <w:t>F</w:t>
      </w:r>
      <w:r w:rsidR="00BC7315" w:rsidRPr="000456F9">
        <w:rPr>
          <w:b/>
          <w:sz w:val="24"/>
          <w:szCs w:val="24"/>
        </w:rPr>
        <w:t>.</w:t>
      </w:r>
      <w:r w:rsidR="00BC7315" w:rsidRPr="000456F9">
        <w:rPr>
          <w:b/>
          <w:sz w:val="24"/>
          <w:szCs w:val="24"/>
        </w:rPr>
        <w:tab/>
        <w:t>PROGRAM REQUIREMENTS</w:t>
      </w:r>
    </w:p>
    <w:p w14:paraId="1B0F7831" w14:textId="40256842" w:rsidR="00FA2EB1" w:rsidRPr="000456F9" w:rsidRDefault="00BC7315" w:rsidP="00FA2EB1">
      <w:pPr>
        <w:spacing w:before="360"/>
        <w:ind w:left="360"/>
        <w:rPr>
          <w:b/>
          <w:sz w:val="24"/>
          <w:szCs w:val="24"/>
        </w:rPr>
      </w:pPr>
      <w:r w:rsidRPr="000456F9">
        <w:rPr>
          <w:b/>
          <w:sz w:val="24"/>
          <w:szCs w:val="24"/>
        </w:rPr>
        <w:t>1.</w:t>
      </w:r>
      <w:r w:rsidR="00FA2EB1" w:rsidRPr="00FA2EB1">
        <w:rPr>
          <w:b/>
          <w:caps/>
          <w:sz w:val="24"/>
          <w:szCs w:val="24"/>
        </w:rPr>
        <w:t xml:space="preserve"> </w:t>
      </w:r>
      <w:r w:rsidR="00FA2EB1">
        <w:rPr>
          <w:b/>
          <w:caps/>
          <w:sz w:val="24"/>
          <w:szCs w:val="24"/>
        </w:rPr>
        <w:tab/>
      </w:r>
      <w:r w:rsidR="00FA2EB1" w:rsidRPr="000456F9">
        <w:rPr>
          <w:b/>
          <w:caps/>
          <w:sz w:val="24"/>
          <w:szCs w:val="24"/>
        </w:rPr>
        <w:t>Compliance Period</w:t>
      </w:r>
      <w:r w:rsidR="006D5489">
        <w:rPr>
          <w:b/>
          <w:caps/>
          <w:sz w:val="24"/>
          <w:szCs w:val="24"/>
        </w:rPr>
        <w:t xml:space="preserve"> requirements</w:t>
      </w:r>
    </w:p>
    <w:p w14:paraId="3B82BDA7" w14:textId="14D2F66C" w:rsidR="00FA2EB1" w:rsidRDefault="00FA2EB1" w:rsidP="00FA2EB1">
      <w:pPr>
        <w:spacing w:before="240"/>
        <w:ind w:left="720"/>
        <w:jc w:val="both"/>
        <w:rPr>
          <w:sz w:val="24"/>
          <w:szCs w:val="24"/>
        </w:rPr>
      </w:pPr>
      <w:r w:rsidRPr="000456F9">
        <w:rPr>
          <w:sz w:val="24"/>
          <w:szCs w:val="24"/>
        </w:rPr>
        <w:t xml:space="preserve">All rental housing projects </w:t>
      </w:r>
      <w:r>
        <w:rPr>
          <w:sz w:val="24"/>
          <w:szCs w:val="24"/>
        </w:rPr>
        <w:t>funded under this program description shall</w:t>
      </w:r>
      <w:r w:rsidRPr="000456F9">
        <w:rPr>
          <w:sz w:val="24"/>
          <w:szCs w:val="24"/>
        </w:rPr>
        <w:t xml:space="preserve"> have a compliance period </w:t>
      </w:r>
      <w:r>
        <w:rPr>
          <w:sz w:val="24"/>
          <w:szCs w:val="24"/>
        </w:rPr>
        <w:t>that begins on the date of issuance of the certificate of occupancy for the final building within the project. If a certificate of occupancy is not issued, the compliance period will begin on the date of recordation of the notice of completion for the project.</w:t>
      </w:r>
      <w:r w:rsidRPr="000456F9">
        <w:rPr>
          <w:sz w:val="24"/>
          <w:szCs w:val="24"/>
        </w:rPr>
        <w:t xml:space="preserve"> </w:t>
      </w:r>
      <w:r>
        <w:rPr>
          <w:sz w:val="24"/>
          <w:szCs w:val="24"/>
        </w:rPr>
        <w:t>With the exception of incurring costs associated with property acquisition, the Grantee shall sign a grant note, deed of trust, and restrictive covenant to enforce the compliance period on a property</w:t>
      </w:r>
      <w:r w:rsidR="00DA2F77">
        <w:rPr>
          <w:sz w:val="24"/>
          <w:szCs w:val="24"/>
        </w:rPr>
        <w:t xml:space="preserve"> prior to incurring any costs associated with project development.  In</w:t>
      </w:r>
      <w:r>
        <w:rPr>
          <w:sz w:val="24"/>
          <w:szCs w:val="24"/>
        </w:rPr>
        <w:t xml:space="preserve"> no case shall the Grantee draw any CHI-2 funds </w:t>
      </w:r>
      <w:r w:rsidR="00DA2F77">
        <w:rPr>
          <w:sz w:val="24"/>
          <w:szCs w:val="24"/>
        </w:rPr>
        <w:t xml:space="preserve">on a subject property </w:t>
      </w:r>
      <w:r>
        <w:rPr>
          <w:sz w:val="24"/>
          <w:szCs w:val="24"/>
        </w:rPr>
        <w:t xml:space="preserve">prior to signing </w:t>
      </w:r>
      <w:r w:rsidRPr="000456F9">
        <w:rPr>
          <w:sz w:val="24"/>
          <w:szCs w:val="24"/>
        </w:rPr>
        <w:t>a grant note, deed of trust and restrictive covenant to enforce the compliance period</w:t>
      </w:r>
      <w:r w:rsidR="00DA2F77">
        <w:rPr>
          <w:sz w:val="24"/>
          <w:szCs w:val="24"/>
        </w:rPr>
        <w:t xml:space="preserve"> on that property</w:t>
      </w:r>
      <w:r w:rsidRPr="000456F9">
        <w:rPr>
          <w:sz w:val="24"/>
          <w:szCs w:val="24"/>
        </w:rPr>
        <w:t xml:space="preserve">. </w:t>
      </w:r>
      <w:r>
        <w:rPr>
          <w:sz w:val="24"/>
          <w:szCs w:val="24"/>
        </w:rPr>
        <w:t xml:space="preserve">THDA will forgive the CHI-2 grant </w:t>
      </w:r>
      <w:r w:rsidRPr="000456F9">
        <w:rPr>
          <w:sz w:val="24"/>
          <w:szCs w:val="24"/>
        </w:rPr>
        <w:t xml:space="preserve">at the end of the </w:t>
      </w:r>
      <w:r>
        <w:rPr>
          <w:sz w:val="24"/>
          <w:szCs w:val="24"/>
        </w:rPr>
        <w:t>compliance</w:t>
      </w:r>
      <w:r w:rsidRPr="000456F9">
        <w:rPr>
          <w:sz w:val="24"/>
          <w:szCs w:val="24"/>
        </w:rPr>
        <w:t xml:space="preserve"> period</w:t>
      </w:r>
      <w:r>
        <w:rPr>
          <w:sz w:val="24"/>
          <w:szCs w:val="24"/>
        </w:rPr>
        <w:t xml:space="preserve"> if </w:t>
      </w:r>
      <w:r w:rsidR="00DA2F77">
        <w:rPr>
          <w:sz w:val="24"/>
          <w:szCs w:val="24"/>
        </w:rPr>
        <w:t xml:space="preserve">the Grantee achieved </w:t>
      </w:r>
      <w:r>
        <w:rPr>
          <w:sz w:val="24"/>
          <w:szCs w:val="24"/>
        </w:rPr>
        <w:t xml:space="preserve">full compliance throughout </w:t>
      </w:r>
      <w:r w:rsidR="00DA2F77">
        <w:rPr>
          <w:sz w:val="24"/>
          <w:szCs w:val="24"/>
        </w:rPr>
        <w:t>the compliance</w:t>
      </w:r>
      <w:r>
        <w:rPr>
          <w:sz w:val="24"/>
          <w:szCs w:val="24"/>
        </w:rPr>
        <w:t xml:space="preserve"> term.</w:t>
      </w:r>
    </w:p>
    <w:p w14:paraId="21B27EF2" w14:textId="77777777" w:rsidR="00FA2EB1" w:rsidRDefault="00FA2EB1" w:rsidP="00FA2EB1">
      <w:pPr>
        <w:spacing w:before="240"/>
        <w:ind w:left="720"/>
        <w:jc w:val="both"/>
        <w:rPr>
          <w:sz w:val="24"/>
          <w:szCs w:val="24"/>
        </w:rPr>
      </w:pPr>
      <w:r>
        <w:rPr>
          <w:sz w:val="24"/>
          <w:szCs w:val="24"/>
        </w:rPr>
        <w:t>The length of the compliance period will be determined based on the amount of CHI-2 funds invested per unit:</w:t>
      </w:r>
    </w:p>
    <w:p w14:paraId="57BCC422" w14:textId="77777777" w:rsidR="00FA2EB1" w:rsidRDefault="00FA2EB1" w:rsidP="00FA2EB1">
      <w:pPr>
        <w:ind w:left="720"/>
        <w:jc w:val="both"/>
        <w:rPr>
          <w:sz w:val="24"/>
          <w:szCs w:val="24"/>
        </w:rPr>
      </w:pPr>
    </w:p>
    <w:tbl>
      <w:tblPr>
        <w:tblStyle w:val="TableGrid"/>
        <w:tblW w:w="0" w:type="auto"/>
        <w:jc w:val="center"/>
        <w:tblLook w:val="04A0" w:firstRow="1" w:lastRow="0" w:firstColumn="1" w:lastColumn="0" w:noHBand="0" w:noVBand="1"/>
      </w:tblPr>
      <w:tblGrid>
        <w:gridCol w:w="4135"/>
        <w:gridCol w:w="2250"/>
      </w:tblGrid>
      <w:tr w:rsidR="00FA2EB1" w14:paraId="44ACC06B" w14:textId="77777777" w:rsidTr="00DA2F77">
        <w:trPr>
          <w:jc w:val="center"/>
        </w:trPr>
        <w:tc>
          <w:tcPr>
            <w:tcW w:w="4135" w:type="dxa"/>
            <w:vAlign w:val="center"/>
          </w:tcPr>
          <w:p w14:paraId="17354E8D" w14:textId="5213CD84" w:rsidR="00FA2EB1" w:rsidRPr="00097D0F" w:rsidRDefault="00FA2EB1" w:rsidP="00DA2F77">
            <w:pPr>
              <w:jc w:val="center"/>
              <w:rPr>
                <w:b/>
                <w:sz w:val="24"/>
                <w:szCs w:val="24"/>
              </w:rPr>
            </w:pPr>
            <w:r w:rsidRPr="00097D0F">
              <w:rPr>
                <w:b/>
                <w:sz w:val="24"/>
                <w:szCs w:val="24"/>
              </w:rPr>
              <w:t xml:space="preserve">Average Per Unit </w:t>
            </w:r>
            <w:r>
              <w:rPr>
                <w:b/>
                <w:sz w:val="24"/>
                <w:szCs w:val="24"/>
              </w:rPr>
              <w:t>CHI-2</w:t>
            </w:r>
            <w:r w:rsidRPr="00097D0F">
              <w:rPr>
                <w:b/>
                <w:sz w:val="24"/>
                <w:szCs w:val="24"/>
              </w:rPr>
              <w:t xml:space="preserve"> Investment</w:t>
            </w:r>
          </w:p>
        </w:tc>
        <w:tc>
          <w:tcPr>
            <w:tcW w:w="2250" w:type="dxa"/>
            <w:vAlign w:val="center"/>
          </w:tcPr>
          <w:p w14:paraId="731340E0" w14:textId="77777777" w:rsidR="00FA2EB1" w:rsidRPr="00097D0F" w:rsidRDefault="00FA2EB1" w:rsidP="00DA2F77">
            <w:pPr>
              <w:jc w:val="center"/>
              <w:rPr>
                <w:b/>
                <w:sz w:val="24"/>
                <w:szCs w:val="24"/>
              </w:rPr>
            </w:pPr>
            <w:r w:rsidRPr="00097D0F">
              <w:rPr>
                <w:b/>
                <w:sz w:val="24"/>
                <w:szCs w:val="24"/>
              </w:rPr>
              <w:t>Compliance Period</w:t>
            </w:r>
          </w:p>
        </w:tc>
      </w:tr>
      <w:tr w:rsidR="00FA2EB1" w14:paraId="2EF5ED82" w14:textId="77777777" w:rsidTr="00DA2F77">
        <w:trPr>
          <w:jc w:val="center"/>
        </w:trPr>
        <w:tc>
          <w:tcPr>
            <w:tcW w:w="4135" w:type="dxa"/>
            <w:vAlign w:val="center"/>
          </w:tcPr>
          <w:p w14:paraId="74B464DB" w14:textId="548264DE" w:rsidR="00FA2EB1" w:rsidRDefault="00FA2EB1" w:rsidP="00DA2F77">
            <w:pPr>
              <w:jc w:val="center"/>
              <w:rPr>
                <w:sz w:val="24"/>
                <w:szCs w:val="24"/>
              </w:rPr>
            </w:pPr>
            <w:r>
              <w:rPr>
                <w:sz w:val="24"/>
                <w:szCs w:val="24"/>
              </w:rPr>
              <w:t>&lt; $15,000</w:t>
            </w:r>
          </w:p>
        </w:tc>
        <w:tc>
          <w:tcPr>
            <w:tcW w:w="2250" w:type="dxa"/>
            <w:vAlign w:val="center"/>
          </w:tcPr>
          <w:p w14:paraId="478E08D7" w14:textId="77777777" w:rsidR="00FA2EB1" w:rsidRDefault="00FA2EB1" w:rsidP="00DA2F77">
            <w:pPr>
              <w:jc w:val="center"/>
              <w:rPr>
                <w:sz w:val="24"/>
                <w:szCs w:val="24"/>
              </w:rPr>
            </w:pPr>
            <w:r>
              <w:rPr>
                <w:sz w:val="24"/>
                <w:szCs w:val="24"/>
              </w:rPr>
              <w:t>5 Years</w:t>
            </w:r>
          </w:p>
        </w:tc>
      </w:tr>
      <w:tr w:rsidR="00FA2EB1" w14:paraId="09AA1405" w14:textId="77777777" w:rsidTr="00DA2F77">
        <w:trPr>
          <w:jc w:val="center"/>
        </w:trPr>
        <w:tc>
          <w:tcPr>
            <w:tcW w:w="4135" w:type="dxa"/>
            <w:vAlign w:val="center"/>
          </w:tcPr>
          <w:p w14:paraId="0262CC09" w14:textId="11406C47" w:rsidR="00FA2EB1" w:rsidRDefault="00FA2EB1" w:rsidP="00DA2F77">
            <w:pPr>
              <w:jc w:val="center"/>
              <w:rPr>
                <w:sz w:val="24"/>
                <w:szCs w:val="24"/>
              </w:rPr>
            </w:pPr>
            <w:r>
              <w:rPr>
                <w:sz w:val="24"/>
                <w:szCs w:val="24"/>
              </w:rPr>
              <w:t>$15,000 – $40,000</w:t>
            </w:r>
          </w:p>
        </w:tc>
        <w:tc>
          <w:tcPr>
            <w:tcW w:w="2250" w:type="dxa"/>
            <w:vAlign w:val="center"/>
          </w:tcPr>
          <w:p w14:paraId="233A2BAB" w14:textId="77777777" w:rsidR="00FA2EB1" w:rsidRDefault="00FA2EB1" w:rsidP="00DA2F77">
            <w:pPr>
              <w:jc w:val="center"/>
              <w:rPr>
                <w:sz w:val="24"/>
                <w:szCs w:val="24"/>
              </w:rPr>
            </w:pPr>
            <w:r>
              <w:rPr>
                <w:sz w:val="24"/>
                <w:szCs w:val="24"/>
              </w:rPr>
              <w:t>10 Years</w:t>
            </w:r>
          </w:p>
        </w:tc>
      </w:tr>
      <w:tr w:rsidR="00FA2EB1" w14:paraId="5D0A516E" w14:textId="77777777" w:rsidTr="00DA2F77">
        <w:trPr>
          <w:jc w:val="center"/>
        </w:trPr>
        <w:tc>
          <w:tcPr>
            <w:tcW w:w="4135" w:type="dxa"/>
            <w:vAlign w:val="center"/>
          </w:tcPr>
          <w:p w14:paraId="03A4EF8A" w14:textId="1B47D329" w:rsidR="00FA2EB1" w:rsidRPr="00097D0F" w:rsidRDefault="00FA2EB1" w:rsidP="00DA2F77">
            <w:pPr>
              <w:pStyle w:val="ListParagraph"/>
              <w:ind w:left="0"/>
              <w:jc w:val="center"/>
              <w:rPr>
                <w:sz w:val="24"/>
                <w:szCs w:val="24"/>
              </w:rPr>
            </w:pPr>
            <w:r>
              <w:rPr>
                <w:sz w:val="24"/>
                <w:szCs w:val="24"/>
              </w:rPr>
              <w:t>&gt; $40,000</w:t>
            </w:r>
          </w:p>
        </w:tc>
        <w:tc>
          <w:tcPr>
            <w:tcW w:w="2250" w:type="dxa"/>
            <w:vAlign w:val="center"/>
          </w:tcPr>
          <w:p w14:paraId="69863774" w14:textId="7F0CEC91" w:rsidR="00FA2EB1" w:rsidRPr="00B52557" w:rsidRDefault="00DA2F77" w:rsidP="00DA2F77">
            <w:pPr>
              <w:pStyle w:val="ListParagraph"/>
              <w:ind w:left="0"/>
              <w:jc w:val="center"/>
              <w:rPr>
                <w:sz w:val="24"/>
                <w:szCs w:val="24"/>
              </w:rPr>
            </w:pPr>
            <w:r>
              <w:rPr>
                <w:sz w:val="24"/>
                <w:szCs w:val="24"/>
              </w:rPr>
              <w:t>15 Y</w:t>
            </w:r>
            <w:r w:rsidR="00FA2EB1" w:rsidRPr="00B52557">
              <w:rPr>
                <w:sz w:val="24"/>
                <w:szCs w:val="24"/>
              </w:rPr>
              <w:t>ears</w:t>
            </w:r>
          </w:p>
        </w:tc>
      </w:tr>
    </w:tbl>
    <w:p w14:paraId="4A4B3409" w14:textId="2B442CFF" w:rsidR="005B777B" w:rsidRPr="005B777B" w:rsidRDefault="005B777B" w:rsidP="00EC5E10">
      <w:pPr>
        <w:spacing w:before="360"/>
        <w:ind w:left="360"/>
        <w:rPr>
          <w:sz w:val="24"/>
          <w:szCs w:val="24"/>
        </w:rPr>
      </w:pPr>
      <w:r w:rsidRPr="005B777B">
        <w:rPr>
          <w:sz w:val="24"/>
          <w:szCs w:val="24"/>
        </w:rPr>
        <w:t xml:space="preserve">During the compliance period, the Grantee will have on-going obligations for the operation of the rental property, including:  </w:t>
      </w:r>
    </w:p>
    <w:p w14:paraId="34043EC6" w14:textId="46C8AF6F" w:rsidR="005B777B" w:rsidRPr="00B2710F" w:rsidRDefault="005B777B" w:rsidP="00085EE7">
      <w:pPr>
        <w:pStyle w:val="ListParagraph"/>
        <w:numPr>
          <w:ilvl w:val="0"/>
          <w:numId w:val="17"/>
        </w:numPr>
        <w:spacing w:before="120"/>
        <w:ind w:left="1080"/>
        <w:contextualSpacing w:val="0"/>
        <w:jc w:val="both"/>
        <w:rPr>
          <w:sz w:val="24"/>
          <w:szCs w:val="24"/>
        </w:rPr>
      </w:pPr>
      <w:r>
        <w:rPr>
          <w:sz w:val="24"/>
          <w:szCs w:val="24"/>
        </w:rPr>
        <w:t>Conducting i</w:t>
      </w:r>
      <w:r w:rsidRPr="000456F9">
        <w:rPr>
          <w:sz w:val="24"/>
          <w:szCs w:val="24"/>
        </w:rPr>
        <w:t>nitial and annual income certification of tenants;</w:t>
      </w:r>
    </w:p>
    <w:p w14:paraId="21E8F2BF" w14:textId="7E84DD1D" w:rsidR="005B777B" w:rsidRPr="000456F9" w:rsidRDefault="005B777B" w:rsidP="00085EE7">
      <w:pPr>
        <w:pStyle w:val="ListParagraph"/>
        <w:numPr>
          <w:ilvl w:val="0"/>
          <w:numId w:val="17"/>
        </w:numPr>
        <w:spacing w:before="120"/>
        <w:ind w:left="1080"/>
        <w:contextualSpacing w:val="0"/>
        <w:jc w:val="both"/>
        <w:rPr>
          <w:sz w:val="24"/>
          <w:szCs w:val="24"/>
        </w:rPr>
      </w:pPr>
      <w:r w:rsidRPr="000456F9">
        <w:rPr>
          <w:sz w:val="24"/>
          <w:szCs w:val="24"/>
        </w:rPr>
        <w:t>Adher</w:t>
      </w:r>
      <w:r>
        <w:rPr>
          <w:sz w:val="24"/>
          <w:szCs w:val="24"/>
        </w:rPr>
        <w:t>ing</w:t>
      </w:r>
      <w:r w:rsidRPr="000456F9">
        <w:rPr>
          <w:sz w:val="24"/>
          <w:szCs w:val="24"/>
        </w:rPr>
        <w:t xml:space="preserve"> to the </w:t>
      </w:r>
      <w:r>
        <w:rPr>
          <w:sz w:val="24"/>
          <w:szCs w:val="24"/>
        </w:rPr>
        <w:t>CHI-2</w:t>
      </w:r>
      <w:r w:rsidRPr="000456F9">
        <w:rPr>
          <w:sz w:val="24"/>
          <w:szCs w:val="24"/>
        </w:rPr>
        <w:t xml:space="preserve"> rent limits;</w:t>
      </w:r>
    </w:p>
    <w:p w14:paraId="00B54170" w14:textId="7879FF59" w:rsidR="005B777B" w:rsidRDefault="005B777B" w:rsidP="00085EE7">
      <w:pPr>
        <w:pStyle w:val="BodyTextIndent2"/>
        <w:numPr>
          <w:ilvl w:val="0"/>
          <w:numId w:val="17"/>
        </w:numPr>
        <w:tabs>
          <w:tab w:val="clear" w:pos="720"/>
        </w:tabs>
        <w:spacing w:before="120"/>
        <w:ind w:left="1080"/>
        <w:rPr>
          <w:szCs w:val="24"/>
        </w:rPr>
      </w:pPr>
      <w:r w:rsidRPr="000456F9">
        <w:rPr>
          <w:szCs w:val="24"/>
        </w:rPr>
        <w:t>Compl</w:t>
      </w:r>
      <w:r w:rsidR="00EC5E10">
        <w:rPr>
          <w:szCs w:val="24"/>
        </w:rPr>
        <w:t>ying</w:t>
      </w:r>
      <w:r w:rsidRPr="000456F9">
        <w:rPr>
          <w:szCs w:val="24"/>
        </w:rPr>
        <w:t xml:space="preserve"> with THDA Property Standards; </w:t>
      </w:r>
    </w:p>
    <w:p w14:paraId="449C1411" w14:textId="67D1EE37" w:rsidR="005B777B" w:rsidRDefault="00EC5E10" w:rsidP="00085EE7">
      <w:pPr>
        <w:pStyle w:val="BodyTextIndent2"/>
        <w:numPr>
          <w:ilvl w:val="0"/>
          <w:numId w:val="17"/>
        </w:numPr>
        <w:tabs>
          <w:tab w:val="clear" w:pos="720"/>
        </w:tabs>
        <w:spacing w:before="120"/>
        <w:ind w:left="1080"/>
        <w:rPr>
          <w:szCs w:val="24"/>
        </w:rPr>
      </w:pPr>
      <w:r>
        <w:rPr>
          <w:szCs w:val="24"/>
        </w:rPr>
        <w:t>Adhering to</w:t>
      </w:r>
      <w:r w:rsidR="005B777B">
        <w:rPr>
          <w:szCs w:val="24"/>
        </w:rPr>
        <w:t xml:space="preserve"> fair housing and affirmative marketing requirements; </w:t>
      </w:r>
    </w:p>
    <w:p w14:paraId="7BACB12F" w14:textId="6D711E88" w:rsidR="00EC5E10" w:rsidRPr="000456F9" w:rsidRDefault="00EC5E10" w:rsidP="00085EE7">
      <w:pPr>
        <w:pStyle w:val="BodyTextIndent2"/>
        <w:numPr>
          <w:ilvl w:val="0"/>
          <w:numId w:val="17"/>
        </w:numPr>
        <w:tabs>
          <w:tab w:val="clear" w:pos="720"/>
        </w:tabs>
        <w:spacing w:before="120"/>
        <w:ind w:left="1080"/>
        <w:rPr>
          <w:szCs w:val="24"/>
        </w:rPr>
      </w:pPr>
      <w:r>
        <w:rPr>
          <w:szCs w:val="24"/>
        </w:rPr>
        <w:t xml:space="preserve">Operating the units as recovery housing for individuals </w:t>
      </w:r>
      <w:r w:rsidR="00F40723">
        <w:rPr>
          <w:szCs w:val="24"/>
        </w:rPr>
        <w:t xml:space="preserve">recovering from </w:t>
      </w:r>
      <w:r w:rsidR="004C70FE">
        <w:rPr>
          <w:szCs w:val="24"/>
        </w:rPr>
        <w:t>the use of opioids or opioid derivatives</w:t>
      </w:r>
      <w:r>
        <w:rPr>
          <w:szCs w:val="24"/>
        </w:rPr>
        <w:t xml:space="preserve"> as described in this program description;</w:t>
      </w:r>
    </w:p>
    <w:p w14:paraId="32BABABA" w14:textId="29469D00" w:rsidR="005B777B" w:rsidRDefault="005B777B" w:rsidP="00085EE7">
      <w:pPr>
        <w:pStyle w:val="ListParagraph"/>
        <w:numPr>
          <w:ilvl w:val="0"/>
          <w:numId w:val="17"/>
        </w:numPr>
        <w:spacing w:before="120"/>
        <w:ind w:left="1080"/>
        <w:contextualSpacing w:val="0"/>
        <w:jc w:val="both"/>
        <w:rPr>
          <w:sz w:val="24"/>
          <w:szCs w:val="24"/>
        </w:rPr>
      </w:pPr>
      <w:r w:rsidRPr="000456F9">
        <w:rPr>
          <w:sz w:val="24"/>
          <w:szCs w:val="24"/>
        </w:rPr>
        <w:t>Report</w:t>
      </w:r>
      <w:r w:rsidR="00EC5E10">
        <w:rPr>
          <w:sz w:val="24"/>
          <w:szCs w:val="24"/>
        </w:rPr>
        <w:t>ing</w:t>
      </w:r>
      <w:r w:rsidRPr="000456F9">
        <w:rPr>
          <w:sz w:val="24"/>
          <w:szCs w:val="24"/>
        </w:rPr>
        <w:t xml:space="preserve"> to THDA</w:t>
      </w:r>
      <w:r>
        <w:rPr>
          <w:sz w:val="24"/>
          <w:szCs w:val="24"/>
        </w:rPr>
        <w:t xml:space="preserve"> as THDA may require; and,</w:t>
      </w:r>
    </w:p>
    <w:p w14:paraId="11F1EB48" w14:textId="52322CC3" w:rsidR="00460B70" w:rsidRPr="0068753C" w:rsidRDefault="005B777B" w:rsidP="00374385">
      <w:pPr>
        <w:pStyle w:val="ListParagraph"/>
        <w:numPr>
          <w:ilvl w:val="0"/>
          <w:numId w:val="17"/>
        </w:numPr>
        <w:spacing w:before="120"/>
        <w:ind w:left="1080"/>
        <w:contextualSpacing w:val="0"/>
        <w:rPr>
          <w:sz w:val="24"/>
          <w:szCs w:val="24"/>
        </w:rPr>
      </w:pPr>
      <w:r>
        <w:rPr>
          <w:sz w:val="24"/>
          <w:szCs w:val="24"/>
        </w:rPr>
        <w:t>Tak</w:t>
      </w:r>
      <w:r w:rsidR="00EC5E10">
        <w:rPr>
          <w:sz w:val="24"/>
          <w:szCs w:val="24"/>
        </w:rPr>
        <w:t>ing</w:t>
      </w:r>
      <w:r>
        <w:rPr>
          <w:sz w:val="24"/>
          <w:szCs w:val="24"/>
        </w:rPr>
        <w:t xml:space="preserve"> other actions as THDA may require.</w:t>
      </w:r>
      <w:r w:rsidR="00374385">
        <w:rPr>
          <w:sz w:val="24"/>
          <w:szCs w:val="24"/>
        </w:rPr>
        <w:br/>
      </w:r>
    </w:p>
    <w:p w14:paraId="0986F1BD" w14:textId="3BD925AC" w:rsidR="00DA2F77" w:rsidRPr="000456F9" w:rsidRDefault="00DA2F77" w:rsidP="00DA2F77">
      <w:pPr>
        <w:spacing w:before="360"/>
        <w:ind w:left="360"/>
        <w:rPr>
          <w:sz w:val="24"/>
          <w:szCs w:val="24"/>
        </w:rPr>
      </w:pPr>
      <w:r>
        <w:rPr>
          <w:b/>
          <w:sz w:val="24"/>
          <w:szCs w:val="24"/>
        </w:rPr>
        <w:t>2.</w:t>
      </w:r>
      <w:r>
        <w:rPr>
          <w:b/>
          <w:sz w:val="24"/>
          <w:szCs w:val="24"/>
        </w:rPr>
        <w:tab/>
      </w:r>
      <w:r w:rsidRPr="000456F9">
        <w:rPr>
          <w:b/>
          <w:sz w:val="24"/>
          <w:szCs w:val="24"/>
        </w:rPr>
        <w:t>CRIMINAL BACKGROUND</w:t>
      </w:r>
      <w:r w:rsidR="006D5489">
        <w:rPr>
          <w:b/>
          <w:sz w:val="24"/>
          <w:szCs w:val="24"/>
        </w:rPr>
        <w:t xml:space="preserve"> REQUIREMENTS</w:t>
      </w:r>
    </w:p>
    <w:p w14:paraId="1EB1A3E1" w14:textId="451F6A54" w:rsidR="00EC5E10" w:rsidRPr="000456F9" w:rsidRDefault="00DA2F77" w:rsidP="00460B70">
      <w:pPr>
        <w:spacing w:before="240"/>
        <w:ind w:left="720"/>
        <w:jc w:val="both"/>
        <w:rPr>
          <w:sz w:val="24"/>
          <w:szCs w:val="24"/>
        </w:rPr>
      </w:pPr>
      <w:r>
        <w:rPr>
          <w:sz w:val="24"/>
          <w:szCs w:val="24"/>
        </w:rPr>
        <w:t>Grantees shall</w:t>
      </w:r>
      <w:r w:rsidRPr="000456F9">
        <w:rPr>
          <w:sz w:val="24"/>
          <w:szCs w:val="24"/>
        </w:rPr>
        <w:t xml:space="preserve"> follow HUD regulations </w:t>
      </w:r>
      <w:r w:rsidR="00135C9D">
        <w:rPr>
          <w:sz w:val="24"/>
          <w:szCs w:val="24"/>
        </w:rPr>
        <w:t>on</w:t>
      </w:r>
      <w:r w:rsidRPr="000456F9">
        <w:rPr>
          <w:sz w:val="24"/>
          <w:szCs w:val="24"/>
        </w:rPr>
        <w:t xml:space="preserve"> the provision of housing for ex-offenders. HUD regulations prohibit housing assistance to the following groups of ex-offenders: </w:t>
      </w:r>
    </w:p>
    <w:p w14:paraId="4637EADC" w14:textId="77777777" w:rsidR="00EC5E10" w:rsidRDefault="00EC5E10" w:rsidP="00EC5E10">
      <w:pPr>
        <w:pStyle w:val="ListParagraph"/>
        <w:spacing w:before="120"/>
        <w:ind w:left="1080"/>
        <w:jc w:val="both"/>
        <w:rPr>
          <w:sz w:val="24"/>
          <w:szCs w:val="24"/>
        </w:rPr>
      </w:pPr>
    </w:p>
    <w:p w14:paraId="7C86574F" w14:textId="1D8303DD" w:rsidR="00DA2F77" w:rsidRDefault="00DA2F77" w:rsidP="00085EE7">
      <w:pPr>
        <w:pStyle w:val="ListParagraph"/>
        <w:numPr>
          <w:ilvl w:val="0"/>
          <w:numId w:val="7"/>
        </w:numPr>
        <w:spacing w:before="120"/>
        <w:ind w:left="1080"/>
        <w:jc w:val="both"/>
        <w:rPr>
          <w:sz w:val="24"/>
          <w:szCs w:val="24"/>
        </w:rPr>
      </w:pPr>
      <w:r w:rsidRPr="000456F9">
        <w:rPr>
          <w:sz w:val="24"/>
          <w:szCs w:val="24"/>
        </w:rPr>
        <w:t>Ex-offenders who have been evicted from federally-assisted housing for drug-related criminal activity with an effective date of eviction within the last three (3) year period.</w:t>
      </w:r>
    </w:p>
    <w:p w14:paraId="0184EE81" w14:textId="77777777" w:rsidR="00EC5E10" w:rsidRPr="000456F9" w:rsidRDefault="00EC5E10" w:rsidP="00EC5E10">
      <w:pPr>
        <w:pStyle w:val="ListParagraph"/>
        <w:spacing w:before="120"/>
        <w:ind w:left="1080"/>
        <w:jc w:val="both"/>
        <w:rPr>
          <w:sz w:val="24"/>
          <w:szCs w:val="24"/>
        </w:rPr>
      </w:pPr>
    </w:p>
    <w:p w14:paraId="1CF36D70" w14:textId="6083F1C6" w:rsidR="00EC5E10" w:rsidRPr="00EC5E10" w:rsidRDefault="00DA2F77" w:rsidP="00085EE7">
      <w:pPr>
        <w:pStyle w:val="ListParagraph"/>
        <w:numPr>
          <w:ilvl w:val="0"/>
          <w:numId w:val="7"/>
        </w:numPr>
        <w:spacing w:before="120"/>
        <w:ind w:left="1080"/>
        <w:jc w:val="both"/>
        <w:rPr>
          <w:sz w:val="24"/>
          <w:szCs w:val="24"/>
        </w:rPr>
      </w:pPr>
      <w:r w:rsidRPr="000456F9">
        <w:rPr>
          <w:sz w:val="24"/>
          <w:szCs w:val="24"/>
        </w:rPr>
        <w:t>An ex-offender household that includes a member who has ever been convicted of a drug-related criminal activity involving the manufacturing or production of methamphetamine</w:t>
      </w:r>
      <w:r>
        <w:rPr>
          <w:sz w:val="24"/>
          <w:szCs w:val="24"/>
        </w:rPr>
        <w:t>s</w:t>
      </w:r>
      <w:r w:rsidRPr="000456F9">
        <w:rPr>
          <w:sz w:val="24"/>
          <w:szCs w:val="24"/>
        </w:rPr>
        <w:t xml:space="preserve"> on the premises of federally–assisted housing. </w:t>
      </w:r>
    </w:p>
    <w:p w14:paraId="4ABD0BC5" w14:textId="77777777" w:rsidR="00EC5E10" w:rsidRDefault="00EC5E10" w:rsidP="00EC5E10">
      <w:pPr>
        <w:pStyle w:val="ListParagraph"/>
        <w:spacing w:before="120"/>
        <w:ind w:left="1080"/>
        <w:jc w:val="both"/>
        <w:rPr>
          <w:sz w:val="24"/>
          <w:szCs w:val="24"/>
        </w:rPr>
      </w:pPr>
    </w:p>
    <w:p w14:paraId="76DE63DA" w14:textId="7561FAED" w:rsidR="00EC5E10" w:rsidRPr="00460B70" w:rsidRDefault="00DA2F77" w:rsidP="00EC5E10">
      <w:pPr>
        <w:pStyle w:val="ListParagraph"/>
        <w:numPr>
          <w:ilvl w:val="0"/>
          <w:numId w:val="7"/>
        </w:numPr>
        <w:spacing w:before="120"/>
        <w:ind w:left="1080"/>
        <w:jc w:val="both"/>
        <w:rPr>
          <w:sz w:val="24"/>
          <w:szCs w:val="24"/>
        </w:rPr>
      </w:pPr>
      <w:r w:rsidRPr="000456F9">
        <w:rPr>
          <w:sz w:val="24"/>
          <w:szCs w:val="24"/>
        </w:rPr>
        <w:t>An ex-offender household that includes a member who is subject to a lifetime registration requirement under a state sex offender registry program.</w:t>
      </w:r>
    </w:p>
    <w:p w14:paraId="09F71B1A" w14:textId="0B8759E3" w:rsidR="00DA2F77" w:rsidRPr="00B52557" w:rsidRDefault="00DA2F77" w:rsidP="00460B70">
      <w:pPr>
        <w:spacing w:before="360"/>
        <w:ind w:left="720" w:hanging="360"/>
        <w:rPr>
          <w:b/>
          <w:sz w:val="24"/>
          <w:szCs w:val="24"/>
        </w:rPr>
      </w:pPr>
      <w:r>
        <w:rPr>
          <w:b/>
          <w:sz w:val="24"/>
          <w:szCs w:val="24"/>
        </w:rPr>
        <w:t>3.</w:t>
      </w:r>
      <w:r>
        <w:rPr>
          <w:b/>
          <w:sz w:val="24"/>
          <w:szCs w:val="24"/>
        </w:rPr>
        <w:tab/>
      </w:r>
      <w:r w:rsidRPr="00B52557">
        <w:rPr>
          <w:b/>
          <w:sz w:val="24"/>
          <w:szCs w:val="24"/>
        </w:rPr>
        <w:t>DEVELOPER FEE</w:t>
      </w:r>
      <w:r w:rsidR="006D5489">
        <w:rPr>
          <w:b/>
          <w:sz w:val="24"/>
          <w:szCs w:val="24"/>
        </w:rPr>
        <w:t xml:space="preserve"> REQUIREMENTS</w:t>
      </w:r>
    </w:p>
    <w:p w14:paraId="67D7642C" w14:textId="77777777" w:rsidR="00DA2F77" w:rsidRDefault="00DA2F77" w:rsidP="00DA2F77">
      <w:pPr>
        <w:rPr>
          <w:b/>
          <w:sz w:val="24"/>
          <w:szCs w:val="24"/>
        </w:rPr>
      </w:pPr>
    </w:p>
    <w:p w14:paraId="4D2AE0DF" w14:textId="77777777" w:rsidR="00DA2F77" w:rsidRDefault="00DA2F77" w:rsidP="00DA2F77">
      <w:pPr>
        <w:spacing w:after="160" w:line="259" w:lineRule="auto"/>
        <w:ind w:left="720"/>
        <w:jc w:val="both"/>
        <w:rPr>
          <w:sz w:val="24"/>
          <w:szCs w:val="24"/>
        </w:rPr>
      </w:pPr>
      <w:r w:rsidRPr="00320581">
        <w:rPr>
          <w:sz w:val="24"/>
          <w:szCs w:val="24"/>
        </w:rPr>
        <w:t>Applicants may request a developer fee equal to or less than 7</w:t>
      </w:r>
      <w:r>
        <w:rPr>
          <w:sz w:val="24"/>
          <w:szCs w:val="24"/>
        </w:rPr>
        <w:t>.0</w:t>
      </w:r>
      <w:r w:rsidRPr="00320581">
        <w:rPr>
          <w:sz w:val="24"/>
          <w:szCs w:val="24"/>
        </w:rPr>
        <w:t xml:space="preserve">% of total CHI-2 grant request less any </w:t>
      </w:r>
      <w:r>
        <w:rPr>
          <w:sz w:val="24"/>
          <w:szCs w:val="24"/>
        </w:rPr>
        <w:t xml:space="preserve">costs associated with the developer fee, </w:t>
      </w:r>
      <w:r w:rsidRPr="00320581">
        <w:rPr>
          <w:sz w:val="24"/>
          <w:szCs w:val="24"/>
        </w:rPr>
        <w:t>acqui</w:t>
      </w:r>
      <w:r>
        <w:rPr>
          <w:sz w:val="24"/>
          <w:szCs w:val="24"/>
        </w:rPr>
        <w:t>sition, and permanent financing</w:t>
      </w:r>
      <w:r w:rsidRPr="00320581">
        <w:rPr>
          <w:sz w:val="24"/>
          <w:szCs w:val="24"/>
        </w:rPr>
        <w:t>. If the applicant proposes other funds for the project, the total developer fee earned for the project may not exceed 15% of the total development cost less any costs associated with the developer fee, acquisition, and permanent financing.</w:t>
      </w:r>
      <w:r>
        <w:rPr>
          <w:sz w:val="24"/>
          <w:szCs w:val="24"/>
        </w:rPr>
        <w:t xml:space="preserve">  </w:t>
      </w:r>
    </w:p>
    <w:p w14:paraId="392EF912" w14:textId="77777777" w:rsidR="00DA2F77" w:rsidRDefault="00DA2F77" w:rsidP="00DA2F77">
      <w:pPr>
        <w:spacing w:after="160" w:line="259" w:lineRule="auto"/>
        <w:ind w:left="720"/>
        <w:jc w:val="both"/>
        <w:rPr>
          <w:sz w:val="24"/>
          <w:szCs w:val="24"/>
        </w:rPr>
      </w:pPr>
      <w:r>
        <w:rPr>
          <w:sz w:val="24"/>
          <w:szCs w:val="24"/>
        </w:rPr>
        <w:t xml:space="preserve">The developer fee may be requested in equal percentages of the total CHI-2 grant funds requested up until 75% of the grant has been expended. The final 25% of the developer fee may not be requested until project development is complete, with all certificates of occupancy issued and all required documentation submitted to THDA.  </w:t>
      </w:r>
    </w:p>
    <w:p w14:paraId="6C289283" w14:textId="7FDE01CD" w:rsidR="00FA2EB1" w:rsidRPr="00EC5E10" w:rsidRDefault="00DA2F77" w:rsidP="00EC5E10">
      <w:pPr>
        <w:spacing w:after="160" w:line="259" w:lineRule="auto"/>
        <w:ind w:left="720"/>
        <w:jc w:val="both"/>
        <w:rPr>
          <w:sz w:val="24"/>
          <w:szCs w:val="24"/>
        </w:rPr>
      </w:pPr>
      <w:r>
        <w:rPr>
          <w:sz w:val="24"/>
          <w:szCs w:val="24"/>
        </w:rPr>
        <w:t xml:space="preserve">No administrative funds will be provided under this program description.  </w:t>
      </w:r>
    </w:p>
    <w:p w14:paraId="192525A8" w14:textId="454C1ECB" w:rsidR="00BC7315" w:rsidRPr="000456F9" w:rsidRDefault="00DA2F77" w:rsidP="006C5D11">
      <w:pPr>
        <w:spacing w:before="360"/>
        <w:ind w:left="360"/>
        <w:jc w:val="both"/>
        <w:rPr>
          <w:b/>
          <w:sz w:val="24"/>
          <w:szCs w:val="24"/>
        </w:rPr>
      </w:pPr>
      <w:r>
        <w:rPr>
          <w:b/>
          <w:sz w:val="24"/>
          <w:szCs w:val="24"/>
        </w:rPr>
        <w:t>4</w:t>
      </w:r>
      <w:r w:rsidR="00FA2EB1">
        <w:rPr>
          <w:b/>
          <w:sz w:val="24"/>
          <w:szCs w:val="24"/>
        </w:rPr>
        <w:t>.</w:t>
      </w:r>
      <w:r w:rsidR="00FA2EB1">
        <w:rPr>
          <w:b/>
          <w:sz w:val="24"/>
          <w:szCs w:val="24"/>
        </w:rPr>
        <w:tab/>
      </w:r>
      <w:r w:rsidR="006D5489">
        <w:rPr>
          <w:b/>
          <w:caps/>
          <w:sz w:val="24"/>
          <w:szCs w:val="24"/>
        </w:rPr>
        <w:t>Income Limit REQUIREMENTS</w:t>
      </w:r>
    </w:p>
    <w:p w14:paraId="159F1B9F" w14:textId="04EDE7B4" w:rsidR="00BC7315" w:rsidRPr="000456F9" w:rsidRDefault="00BC7315" w:rsidP="00EC5E10">
      <w:pPr>
        <w:spacing w:before="240"/>
        <w:ind w:left="720"/>
        <w:jc w:val="both"/>
        <w:rPr>
          <w:sz w:val="24"/>
          <w:szCs w:val="24"/>
        </w:rPr>
      </w:pPr>
      <w:r w:rsidRPr="000456F9">
        <w:rPr>
          <w:sz w:val="24"/>
          <w:szCs w:val="24"/>
        </w:rPr>
        <w:t>C</w:t>
      </w:r>
      <w:r w:rsidR="001D453E">
        <w:rPr>
          <w:sz w:val="24"/>
          <w:szCs w:val="24"/>
        </w:rPr>
        <w:t>HI-2</w:t>
      </w:r>
      <w:r w:rsidRPr="000456F9">
        <w:rPr>
          <w:sz w:val="24"/>
          <w:szCs w:val="24"/>
        </w:rPr>
        <w:t xml:space="preserve"> Grants for rental projects may be used to benefit</w:t>
      </w:r>
      <w:r w:rsidR="00FA2EB1">
        <w:rPr>
          <w:sz w:val="24"/>
          <w:szCs w:val="24"/>
        </w:rPr>
        <w:t xml:space="preserve"> low income households, meaning </w:t>
      </w:r>
      <w:r w:rsidR="00D42F62" w:rsidRPr="00FA2EB1">
        <w:rPr>
          <w:sz w:val="24"/>
          <w:szCs w:val="24"/>
        </w:rPr>
        <w:t>an individual or family unit whose gross annual income does not exceed 80% of the area median income, adjusted for family size</w:t>
      </w:r>
      <w:r w:rsidR="00EC5E10">
        <w:rPr>
          <w:sz w:val="24"/>
          <w:szCs w:val="24"/>
        </w:rPr>
        <w:t xml:space="preserve">. </w:t>
      </w:r>
    </w:p>
    <w:p w14:paraId="13F350EC" w14:textId="25946B09" w:rsidR="00BC7315" w:rsidRPr="000456F9" w:rsidRDefault="006A6B02" w:rsidP="00BC7315">
      <w:pPr>
        <w:spacing w:before="240"/>
        <w:ind w:left="720"/>
        <w:jc w:val="both"/>
        <w:rPr>
          <w:sz w:val="24"/>
          <w:szCs w:val="24"/>
        </w:rPr>
      </w:pPr>
      <w:r>
        <w:rPr>
          <w:sz w:val="24"/>
          <w:szCs w:val="24"/>
        </w:rPr>
        <w:t>Grantees shall</w:t>
      </w:r>
      <w:r w:rsidR="00BC7315" w:rsidRPr="000456F9">
        <w:rPr>
          <w:sz w:val="24"/>
          <w:szCs w:val="24"/>
        </w:rPr>
        <w:t xml:space="preserve"> use the income limits established by the U</w:t>
      </w:r>
      <w:r w:rsidR="00335067" w:rsidRPr="000456F9">
        <w:rPr>
          <w:sz w:val="24"/>
          <w:szCs w:val="24"/>
        </w:rPr>
        <w:t>.</w:t>
      </w:r>
      <w:r w:rsidR="00BC7315" w:rsidRPr="000456F9">
        <w:rPr>
          <w:sz w:val="24"/>
          <w:szCs w:val="24"/>
        </w:rPr>
        <w:t>S</w:t>
      </w:r>
      <w:r w:rsidR="00335067" w:rsidRPr="000456F9">
        <w:rPr>
          <w:sz w:val="24"/>
          <w:szCs w:val="24"/>
        </w:rPr>
        <w:t>.</w:t>
      </w:r>
      <w:r w:rsidR="00BC7315" w:rsidRPr="000456F9">
        <w:rPr>
          <w:sz w:val="24"/>
          <w:szCs w:val="24"/>
        </w:rPr>
        <w:t xml:space="preserve"> Department of Housing and Urban Development for the HOME Program, and household income as defined by the Secti</w:t>
      </w:r>
      <w:r w:rsidR="0014046F">
        <w:rPr>
          <w:sz w:val="24"/>
          <w:szCs w:val="24"/>
        </w:rPr>
        <w:t>on 8 Rental Assistance Program.</w:t>
      </w:r>
      <w:r w:rsidR="00BC7315" w:rsidRPr="000456F9">
        <w:rPr>
          <w:sz w:val="24"/>
          <w:szCs w:val="24"/>
        </w:rPr>
        <w:t xml:space="preserve"> Current limits are in </w:t>
      </w:r>
      <w:r w:rsidR="00BC7315" w:rsidRPr="000456F9">
        <w:rPr>
          <w:i/>
          <w:sz w:val="24"/>
          <w:szCs w:val="24"/>
        </w:rPr>
        <w:t xml:space="preserve">Attachment </w:t>
      </w:r>
      <w:r w:rsidR="00961F24" w:rsidRPr="000456F9">
        <w:rPr>
          <w:i/>
          <w:sz w:val="24"/>
          <w:szCs w:val="24"/>
        </w:rPr>
        <w:t>Three</w:t>
      </w:r>
      <w:r w:rsidR="00DA2F77">
        <w:rPr>
          <w:i/>
          <w:sz w:val="24"/>
          <w:szCs w:val="24"/>
        </w:rPr>
        <w:t>:</w:t>
      </w:r>
      <w:r w:rsidR="00BC7315" w:rsidRPr="000456F9">
        <w:rPr>
          <w:i/>
          <w:sz w:val="24"/>
          <w:szCs w:val="24"/>
        </w:rPr>
        <w:t xml:space="preserve"> Income Limits</w:t>
      </w:r>
      <w:r w:rsidR="00273B03">
        <w:rPr>
          <w:sz w:val="24"/>
          <w:szCs w:val="24"/>
        </w:rPr>
        <w:t>.</w:t>
      </w:r>
      <w:r w:rsidR="00BC7315" w:rsidRPr="000456F9">
        <w:rPr>
          <w:sz w:val="24"/>
          <w:szCs w:val="24"/>
        </w:rPr>
        <w:t xml:space="preserve"> The income of the household to be reported for purposes of eligibility is the sum of the annual gross income of the beneficiary, the beneficiary's spouse, and any other </w:t>
      </w:r>
      <w:r w:rsidR="00FA2EB1">
        <w:rPr>
          <w:sz w:val="24"/>
          <w:szCs w:val="24"/>
        </w:rPr>
        <w:t>household</w:t>
      </w:r>
      <w:r w:rsidR="00BC7315" w:rsidRPr="000456F9">
        <w:rPr>
          <w:sz w:val="24"/>
          <w:szCs w:val="24"/>
        </w:rPr>
        <w:t xml:space="preserve"> member resid</w:t>
      </w:r>
      <w:r w:rsidR="00273B03">
        <w:rPr>
          <w:sz w:val="24"/>
          <w:szCs w:val="24"/>
        </w:rPr>
        <w:t>ing in the home or rental unit.</w:t>
      </w:r>
      <w:r w:rsidR="00BC7315" w:rsidRPr="000456F9">
        <w:rPr>
          <w:sz w:val="24"/>
          <w:szCs w:val="24"/>
        </w:rPr>
        <w:t xml:space="preserve"> Annual gross income is "anticipated" for the next 12 months, based upon current circumstances or known upcoming changes, minus certain income exclusions.</w:t>
      </w:r>
    </w:p>
    <w:p w14:paraId="6C28C452" w14:textId="59F1C0D7" w:rsidR="007A03D8" w:rsidRPr="00E259CB" w:rsidRDefault="006A6B02" w:rsidP="00DA2F77">
      <w:pPr>
        <w:spacing w:before="240"/>
        <w:ind w:left="720"/>
        <w:jc w:val="both"/>
        <w:rPr>
          <w:sz w:val="24"/>
          <w:szCs w:val="24"/>
        </w:rPr>
      </w:pPr>
      <w:r>
        <w:rPr>
          <w:sz w:val="24"/>
          <w:szCs w:val="24"/>
        </w:rPr>
        <w:t>Grantees shall</w:t>
      </w:r>
      <w:r w:rsidR="00BC7315" w:rsidRPr="000456F9">
        <w:rPr>
          <w:sz w:val="24"/>
          <w:szCs w:val="24"/>
        </w:rPr>
        <w:t xml:space="preserve"> </w:t>
      </w:r>
      <w:r w:rsidR="00D22D9B" w:rsidRPr="000456F9">
        <w:rPr>
          <w:sz w:val="24"/>
          <w:szCs w:val="24"/>
        </w:rPr>
        <w:t xml:space="preserve">ensure </w:t>
      </w:r>
      <w:r w:rsidR="00FA2EB1">
        <w:rPr>
          <w:sz w:val="24"/>
          <w:szCs w:val="24"/>
        </w:rPr>
        <w:t>occupancy of units by</w:t>
      </w:r>
      <w:r w:rsidR="00335067" w:rsidRPr="000456F9">
        <w:rPr>
          <w:sz w:val="24"/>
          <w:szCs w:val="24"/>
        </w:rPr>
        <w:t xml:space="preserve"> low-</w:t>
      </w:r>
      <w:r w:rsidR="00BC7315" w:rsidRPr="000456F9">
        <w:rPr>
          <w:sz w:val="24"/>
          <w:szCs w:val="24"/>
        </w:rPr>
        <w:t xml:space="preserve">income </w:t>
      </w:r>
      <w:r w:rsidR="00EC5E10">
        <w:rPr>
          <w:sz w:val="24"/>
          <w:szCs w:val="24"/>
        </w:rPr>
        <w:t>households</w:t>
      </w:r>
      <w:r w:rsidR="00BC7315" w:rsidRPr="000456F9">
        <w:rPr>
          <w:sz w:val="24"/>
          <w:szCs w:val="24"/>
        </w:rPr>
        <w:t xml:space="preserve"> during t</w:t>
      </w:r>
      <w:r w:rsidR="00273B03">
        <w:rPr>
          <w:sz w:val="24"/>
          <w:szCs w:val="24"/>
        </w:rPr>
        <w:t xml:space="preserve">he </w:t>
      </w:r>
      <w:r w:rsidR="00273B03" w:rsidRPr="00B467A5">
        <w:rPr>
          <w:sz w:val="24"/>
          <w:szCs w:val="24"/>
        </w:rPr>
        <w:t>compliance period.</w:t>
      </w:r>
      <w:r w:rsidR="00BC7315" w:rsidRPr="00B467A5">
        <w:rPr>
          <w:sz w:val="24"/>
          <w:szCs w:val="24"/>
        </w:rPr>
        <w:t xml:space="preserve"> </w:t>
      </w:r>
      <w:r w:rsidR="00551F61" w:rsidRPr="00B467A5">
        <w:rPr>
          <w:sz w:val="24"/>
          <w:szCs w:val="24"/>
        </w:rPr>
        <w:t>T</w:t>
      </w:r>
      <w:r w:rsidR="00BC7315" w:rsidRPr="00B467A5">
        <w:rPr>
          <w:sz w:val="24"/>
          <w:szCs w:val="24"/>
        </w:rPr>
        <w:t>enants</w:t>
      </w:r>
      <w:r w:rsidR="00BC7315" w:rsidRPr="000456F9">
        <w:rPr>
          <w:sz w:val="24"/>
          <w:szCs w:val="24"/>
        </w:rPr>
        <w:t xml:space="preserve"> whose annual incomes increase to over </w:t>
      </w:r>
      <w:r w:rsidR="00551F61" w:rsidRPr="000456F9">
        <w:rPr>
          <w:sz w:val="24"/>
          <w:szCs w:val="24"/>
        </w:rPr>
        <w:t>80%</w:t>
      </w:r>
      <w:r w:rsidR="00BC7315" w:rsidRPr="000456F9">
        <w:rPr>
          <w:sz w:val="24"/>
          <w:szCs w:val="24"/>
        </w:rPr>
        <w:t xml:space="preserve"> of</w:t>
      </w:r>
      <w:r w:rsidR="00551F61" w:rsidRPr="000456F9">
        <w:rPr>
          <w:sz w:val="24"/>
          <w:szCs w:val="24"/>
        </w:rPr>
        <w:t xml:space="preserve"> </w:t>
      </w:r>
      <w:r w:rsidR="00C17C33">
        <w:rPr>
          <w:sz w:val="24"/>
          <w:szCs w:val="24"/>
        </w:rPr>
        <w:t xml:space="preserve">the </w:t>
      </w:r>
      <w:r w:rsidR="00551F61" w:rsidRPr="000456F9">
        <w:rPr>
          <w:sz w:val="24"/>
          <w:szCs w:val="24"/>
        </w:rPr>
        <w:t>area</w:t>
      </w:r>
      <w:r w:rsidR="00BC7315" w:rsidRPr="000456F9">
        <w:rPr>
          <w:sz w:val="24"/>
          <w:szCs w:val="24"/>
        </w:rPr>
        <w:t xml:space="preserve"> median may remain in occupancy</w:t>
      </w:r>
      <w:r w:rsidR="00335067" w:rsidRPr="000456F9">
        <w:rPr>
          <w:sz w:val="24"/>
          <w:szCs w:val="24"/>
        </w:rPr>
        <w:t>,</w:t>
      </w:r>
      <w:r w:rsidR="00BC7315" w:rsidRPr="000456F9">
        <w:rPr>
          <w:sz w:val="24"/>
          <w:szCs w:val="24"/>
        </w:rPr>
        <w:t xml:space="preserve"> but must pay </w:t>
      </w:r>
      <w:r w:rsidR="00BC7315" w:rsidRPr="0025434A">
        <w:rPr>
          <w:sz w:val="24"/>
          <w:szCs w:val="24"/>
          <w:u w:val="single"/>
        </w:rPr>
        <w:t>no less than</w:t>
      </w:r>
      <w:r w:rsidR="00BC7315" w:rsidRPr="000456F9">
        <w:rPr>
          <w:sz w:val="24"/>
          <w:szCs w:val="24"/>
        </w:rPr>
        <w:t xml:space="preserve"> 30</w:t>
      </w:r>
      <w:r w:rsidR="00551F61" w:rsidRPr="000456F9">
        <w:rPr>
          <w:sz w:val="24"/>
          <w:szCs w:val="24"/>
        </w:rPr>
        <w:t>%</w:t>
      </w:r>
      <w:r w:rsidR="00BC7315" w:rsidRPr="000456F9">
        <w:rPr>
          <w:sz w:val="24"/>
          <w:szCs w:val="24"/>
        </w:rPr>
        <w:t xml:space="preserve"> of their adjusted monthly income for rent and utilities.</w:t>
      </w:r>
    </w:p>
    <w:p w14:paraId="024D8DE0" w14:textId="77777777" w:rsidR="007A03D8" w:rsidRDefault="007A03D8" w:rsidP="00097D0F">
      <w:pPr>
        <w:ind w:left="360"/>
        <w:rPr>
          <w:b/>
          <w:sz w:val="24"/>
          <w:szCs w:val="24"/>
        </w:rPr>
      </w:pPr>
    </w:p>
    <w:p w14:paraId="62B67304" w14:textId="76676CBF" w:rsidR="00BC7315" w:rsidRPr="000456F9" w:rsidRDefault="007A03D8" w:rsidP="00097D0F">
      <w:pPr>
        <w:ind w:left="360"/>
        <w:rPr>
          <w:b/>
          <w:sz w:val="24"/>
          <w:szCs w:val="24"/>
        </w:rPr>
      </w:pPr>
      <w:r>
        <w:rPr>
          <w:b/>
          <w:sz w:val="24"/>
          <w:szCs w:val="24"/>
        </w:rPr>
        <w:t>5.</w:t>
      </w:r>
      <w:r>
        <w:rPr>
          <w:b/>
          <w:sz w:val="24"/>
          <w:szCs w:val="24"/>
        </w:rPr>
        <w:tab/>
      </w:r>
      <w:r w:rsidR="006D5489">
        <w:rPr>
          <w:b/>
          <w:sz w:val="24"/>
          <w:szCs w:val="24"/>
        </w:rPr>
        <w:t>PROPERTY STANDARD REQUIREMENTS</w:t>
      </w:r>
    </w:p>
    <w:p w14:paraId="0C673B58" w14:textId="49DAF0FD" w:rsidR="00BC7315" w:rsidRPr="000456F9" w:rsidRDefault="00BC7315" w:rsidP="00BC7315">
      <w:pPr>
        <w:pStyle w:val="BodyText2"/>
        <w:spacing w:before="120"/>
        <w:ind w:left="720"/>
        <w:rPr>
          <w:szCs w:val="24"/>
        </w:rPr>
      </w:pPr>
      <w:r w:rsidRPr="000456F9">
        <w:rPr>
          <w:szCs w:val="24"/>
        </w:rPr>
        <w:t xml:space="preserve">Any rental units constructed or rehabilitated with </w:t>
      </w:r>
      <w:r w:rsidR="0025434A">
        <w:rPr>
          <w:szCs w:val="24"/>
        </w:rPr>
        <w:t>CHI-2</w:t>
      </w:r>
      <w:r w:rsidRPr="000456F9">
        <w:rPr>
          <w:szCs w:val="24"/>
        </w:rPr>
        <w:t xml:space="preserve"> funds must meet </w:t>
      </w:r>
      <w:r w:rsidR="006E6BA4">
        <w:rPr>
          <w:szCs w:val="24"/>
        </w:rPr>
        <w:t>THDA Design Standards for New Construction or Rehabilitation</w:t>
      </w:r>
      <w:r w:rsidR="006F37D1">
        <w:rPr>
          <w:szCs w:val="24"/>
        </w:rPr>
        <w:t>,</w:t>
      </w:r>
      <w:r w:rsidR="0014046F">
        <w:rPr>
          <w:szCs w:val="24"/>
        </w:rPr>
        <w:t xml:space="preserve"> as applicable.</w:t>
      </w:r>
      <w:r w:rsidR="006E6BA4">
        <w:rPr>
          <w:szCs w:val="24"/>
        </w:rPr>
        <w:t xml:space="preserve"> Additionally, all housing must meet </w:t>
      </w:r>
      <w:r w:rsidRPr="000456F9">
        <w:rPr>
          <w:szCs w:val="24"/>
        </w:rPr>
        <w:t>all applicable local codes, rehabilitation standards, and zoning ordinances at the time of project completion.</w:t>
      </w:r>
      <w:r w:rsidR="00497883" w:rsidRPr="000456F9">
        <w:rPr>
          <w:szCs w:val="24"/>
        </w:rPr>
        <w:t xml:space="preserve"> </w:t>
      </w:r>
    </w:p>
    <w:p w14:paraId="6F5C5F1B" w14:textId="797BC541" w:rsidR="00B82F3E" w:rsidRPr="000456F9" w:rsidRDefault="008F3994" w:rsidP="00BC7315">
      <w:pPr>
        <w:pStyle w:val="BodyTextIndent"/>
        <w:spacing w:before="240"/>
        <w:ind w:firstLine="0"/>
        <w:rPr>
          <w:szCs w:val="24"/>
        </w:rPr>
      </w:pPr>
      <w:r>
        <w:rPr>
          <w:szCs w:val="24"/>
        </w:rPr>
        <w:t>In the</w:t>
      </w:r>
      <w:r w:rsidR="00381DE4">
        <w:rPr>
          <w:szCs w:val="24"/>
        </w:rPr>
        <w:t xml:space="preserve"> absence of local codes</w:t>
      </w:r>
      <w:r w:rsidR="001D7E47">
        <w:rPr>
          <w:szCs w:val="24"/>
        </w:rPr>
        <w:t xml:space="preserve">, </w:t>
      </w:r>
      <w:r w:rsidR="001D7E47" w:rsidRPr="000456F9">
        <w:rPr>
          <w:szCs w:val="24"/>
        </w:rPr>
        <w:t>new</w:t>
      </w:r>
      <w:r w:rsidR="00D42F62" w:rsidRPr="000456F9">
        <w:rPr>
          <w:szCs w:val="24"/>
        </w:rPr>
        <w:t xml:space="preserve"> construction of multi-family apartments of 3 or more units must meet the State-</w:t>
      </w:r>
      <w:r w:rsidR="00D52647" w:rsidRPr="000456F9">
        <w:rPr>
          <w:szCs w:val="24"/>
        </w:rPr>
        <w:t xml:space="preserve">adopted </w:t>
      </w:r>
      <w:r w:rsidR="00D42F62" w:rsidRPr="000456F9">
        <w:rPr>
          <w:szCs w:val="24"/>
        </w:rPr>
        <w:t xml:space="preserve">edition of the International Building Code; new construction of single-family </w:t>
      </w:r>
      <w:r w:rsidR="009710A6" w:rsidRPr="000456F9">
        <w:rPr>
          <w:szCs w:val="24"/>
        </w:rPr>
        <w:t xml:space="preserve">rental </w:t>
      </w:r>
      <w:r w:rsidR="00D42F62" w:rsidRPr="000456F9">
        <w:rPr>
          <w:szCs w:val="24"/>
        </w:rPr>
        <w:t>units or duplexes must meet the State-</w:t>
      </w:r>
      <w:r w:rsidR="00D52647" w:rsidRPr="000456F9">
        <w:rPr>
          <w:szCs w:val="24"/>
        </w:rPr>
        <w:t xml:space="preserve">adopted </w:t>
      </w:r>
      <w:r w:rsidR="00D42F62" w:rsidRPr="000456F9">
        <w:rPr>
          <w:szCs w:val="24"/>
        </w:rPr>
        <w:t>edition of the International Residential Code for One- and Two-Family Dwellings; and rehabilitation of existing rental units must meet the State-</w:t>
      </w:r>
      <w:r w:rsidR="00D52647" w:rsidRPr="000456F9">
        <w:rPr>
          <w:szCs w:val="24"/>
        </w:rPr>
        <w:t xml:space="preserve">adopted </w:t>
      </w:r>
      <w:r w:rsidR="00324820" w:rsidRPr="000456F9">
        <w:rPr>
          <w:szCs w:val="24"/>
        </w:rPr>
        <w:t xml:space="preserve">edition of the </w:t>
      </w:r>
      <w:r w:rsidR="00D42F62" w:rsidRPr="000456F9">
        <w:rPr>
          <w:szCs w:val="24"/>
        </w:rPr>
        <w:t>International Existing Building Code.</w:t>
      </w:r>
      <w:r w:rsidR="00092833">
        <w:rPr>
          <w:szCs w:val="24"/>
        </w:rPr>
        <w:t xml:space="preserve">  </w:t>
      </w:r>
    </w:p>
    <w:p w14:paraId="45B97B3B" w14:textId="4E4226CF" w:rsidR="006E6BA4" w:rsidRDefault="006E6BA4" w:rsidP="00C44728">
      <w:pPr>
        <w:pStyle w:val="BodyTextIndent"/>
        <w:spacing w:before="240"/>
        <w:ind w:firstLine="0"/>
        <w:rPr>
          <w:szCs w:val="24"/>
        </w:rPr>
      </w:pPr>
      <w:r>
        <w:rPr>
          <w:szCs w:val="24"/>
        </w:rPr>
        <w:t xml:space="preserve">All contractors performing work on </w:t>
      </w:r>
      <w:r w:rsidR="000F3546">
        <w:rPr>
          <w:szCs w:val="24"/>
        </w:rPr>
        <w:t>THTF</w:t>
      </w:r>
      <w:r>
        <w:rPr>
          <w:szCs w:val="24"/>
        </w:rPr>
        <w:t xml:space="preserve"> assisted units must be appropriately licensed for the type of work being performed.  </w:t>
      </w:r>
    </w:p>
    <w:p w14:paraId="4D687422" w14:textId="2F0A152E" w:rsidR="0005591D" w:rsidRPr="0025434A" w:rsidRDefault="00F72A9B" w:rsidP="0025434A">
      <w:pPr>
        <w:pStyle w:val="BodyText2"/>
        <w:spacing w:before="120"/>
        <w:ind w:left="720"/>
        <w:rPr>
          <w:szCs w:val="24"/>
        </w:rPr>
      </w:pPr>
      <w:r w:rsidRPr="000456F9">
        <w:rPr>
          <w:szCs w:val="24"/>
        </w:rPr>
        <w:t xml:space="preserve">Following project completion, all </w:t>
      </w:r>
      <w:r w:rsidR="0025434A">
        <w:rPr>
          <w:szCs w:val="24"/>
        </w:rPr>
        <w:t xml:space="preserve">assisted </w:t>
      </w:r>
      <w:r w:rsidRPr="000456F9">
        <w:rPr>
          <w:szCs w:val="24"/>
        </w:rPr>
        <w:t xml:space="preserve">properties must meet Housing Quality Standards throughout the compliance period.  </w:t>
      </w:r>
    </w:p>
    <w:p w14:paraId="2721A27D" w14:textId="705EC967" w:rsidR="00DA2F77" w:rsidRPr="00EC5E10" w:rsidRDefault="00DA2F77" w:rsidP="00EC5E10">
      <w:pPr>
        <w:spacing w:before="240"/>
        <w:ind w:left="720"/>
        <w:jc w:val="both"/>
        <w:rPr>
          <w:sz w:val="24"/>
          <w:szCs w:val="24"/>
        </w:rPr>
      </w:pPr>
      <w:r w:rsidRPr="002449F6">
        <w:rPr>
          <w:i/>
          <w:sz w:val="24"/>
          <w:szCs w:val="24"/>
          <w:u w:val="single"/>
        </w:rPr>
        <w:t>Building Permits.</w:t>
      </w:r>
      <w:r w:rsidRPr="00DA2F77">
        <w:rPr>
          <w:sz w:val="24"/>
          <w:szCs w:val="24"/>
        </w:rPr>
        <w:t xml:space="preserve"> </w:t>
      </w:r>
      <w:r w:rsidR="00657E73">
        <w:rPr>
          <w:sz w:val="24"/>
          <w:szCs w:val="24"/>
        </w:rPr>
        <w:t>The Grantee must ensure that b</w:t>
      </w:r>
      <w:r w:rsidRPr="002449F6">
        <w:rPr>
          <w:sz w:val="24"/>
          <w:szCs w:val="24"/>
        </w:rPr>
        <w:t xml:space="preserve">uilding permits </w:t>
      </w:r>
      <w:r w:rsidR="00657E73">
        <w:rPr>
          <w:sz w:val="24"/>
          <w:szCs w:val="24"/>
        </w:rPr>
        <w:t xml:space="preserve">are pulled </w:t>
      </w:r>
      <w:r w:rsidRPr="002449F6">
        <w:rPr>
          <w:sz w:val="24"/>
          <w:szCs w:val="24"/>
        </w:rPr>
        <w:t>on all new construction and rehabilitation projects as required by the state or local jurisdiction</w:t>
      </w:r>
      <w:r>
        <w:rPr>
          <w:sz w:val="24"/>
          <w:szCs w:val="24"/>
        </w:rPr>
        <w:t>, including mechanical, plumbing, and or electrical permits</w:t>
      </w:r>
      <w:r w:rsidRPr="002449F6">
        <w:rPr>
          <w:sz w:val="24"/>
          <w:szCs w:val="24"/>
        </w:rPr>
        <w:t xml:space="preserve">. </w:t>
      </w:r>
    </w:p>
    <w:p w14:paraId="77B959FA" w14:textId="38D6A0C9" w:rsidR="00BC7315" w:rsidRDefault="00BC7315" w:rsidP="00C44728">
      <w:pPr>
        <w:pStyle w:val="BodyTextIndent"/>
        <w:spacing w:before="240"/>
        <w:ind w:firstLine="0"/>
        <w:rPr>
          <w:szCs w:val="24"/>
        </w:rPr>
      </w:pPr>
      <w:r w:rsidRPr="000456F9">
        <w:rPr>
          <w:i/>
          <w:szCs w:val="24"/>
          <w:u w:val="single"/>
        </w:rPr>
        <w:t>Energy Code</w:t>
      </w:r>
      <w:r w:rsidRPr="000456F9">
        <w:rPr>
          <w:szCs w:val="24"/>
          <w:u w:val="single"/>
        </w:rPr>
        <w:t>.</w:t>
      </w:r>
      <w:r w:rsidR="006C5D11">
        <w:rPr>
          <w:szCs w:val="24"/>
        </w:rPr>
        <w:t xml:space="preserve"> </w:t>
      </w:r>
      <w:r w:rsidRPr="000456F9">
        <w:rPr>
          <w:szCs w:val="24"/>
        </w:rPr>
        <w:t xml:space="preserve">New construction projects must also meet the </w:t>
      </w:r>
      <w:r w:rsidR="009F298E" w:rsidRPr="000456F9">
        <w:rPr>
          <w:szCs w:val="24"/>
        </w:rPr>
        <w:t>current edition of the</w:t>
      </w:r>
      <w:r w:rsidRPr="000456F9">
        <w:rPr>
          <w:szCs w:val="24"/>
        </w:rPr>
        <w:t xml:space="preserve"> International Energy Conservation Code. </w:t>
      </w:r>
    </w:p>
    <w:p w14:paraId="4C2FA4C5" w14:textId="77777777" w:rsidR="00657E73" w:rsidRPr="002449F6" w:rsidRDefault="00657E73" w:rsidP="00657E73">
      <w:pPr>
        <w:spacing w:before="240"/>
        <w:ind w:left="720"/>
        <w:jc w:val="both"/>
        <w:rPr>
          <w:sz w:val="24"/>
          <w:szCs w:val="24"/>
        </w:rPr>
      </w:pPr>
      <w:r w:rsidRPr="002449F6">
        <w:rPr>
          <w:i/>
          <w:sz w:val="24"/>
          <w:szCs w:val="24"/>
          <w:u w:val="single"/>
        </w:rPr>
        <w:t>Inspections.</w:t>
      </w:r>
      <w:r w:rsidRPr="002449F6">
        <w:rPr>
          <w:sz w:val="24"/>
          <w:szCs w:val="24"/>
        </w:rPr>
        <w:t xml:space="preserve"> All rehabilitation or new construction work must be inspected by a licensed inspector based on the rules applicable for the local jurisdiction in which the units are located. Licensed inspectors are certified by the Tennessee Department of Commerce and Insurance – State Fire Marshal’s Office. </w:t>
      </w:r>
    </w:p>
    <w:p w14:paraId="5AD0FB59" w14:textId="77777777" w:rsidR="00657E73" w:rsidRDefault="00657E73" w:rsidP="00657E73">
      <w:pPr>
        <w:spacing w:before="240"/>
        <w:ind w:left="720"/>
        <w:jc w:val="both"/>
        <w:rPr>
          <w:sz w:val="24"/>
          <w:szCs w:val="24"/>
        </w:rPr>
      </w:pPr>
      <w:r w:rsidRPr="002449F6">
        <w:rPr>
          <w:sz w:val="24"/>
          <w:szCs w:val="24"/>
        </w:rPr>
        <w:t xml:space="preserve">If a </w:t>
      </w:r>
      <w:r>
        <w:rPr>
          <w:sz w:val="24"/>
          <w:szCs w:val="24"/>
        </w:rPr>
        <w:t>building</w:t>
      </w:r>
      <w:r w:rsidRPr="002449F6">
        <w:rPr>
          <w:sz w:val="24"/>
          <w:szCs w:val="24"/>
        </w:rPr>
        <w:t xml:space="preserve"> permit is issued by a local jurisdiction</w:t>
      </w:r>
      <w:r>
        <w:rPr>
          <w:sz w:val="24"/>
          <w:szCs w:val="24"/>
        </w:rPr>
        <w:t xml:space="preserve"> or the state</w:t>
      </w:r>
      <w:r w:rsidRPr="002449F6">
        <w:rPr>
          <w:sz w:val="24"/>
          <w:szCs w:val="24"/>
        </w:rPr>
        <w:t xml:space="preserve">, inspection by a state certified inspector of that jurisdiction is required. </w:t>
      </w:r>
    </w:p>
    <w:p w14:paraId="39165CA8" w14:textId="77777777" w:rsidR="00636186" w:rsidRDefault="00657E73" w:rsidP="00657E73">
      <w:pPr>
        <w:spacing w:before="240"/>
        <w:ind w:left="720"/>
        <w:jc w:val="both"/>
        <w:rPr>
          <w:rFonts w:cstheme="minorHAnsi"/>
          <w:sz w:val="24"/>
          <w:szCs w:val="24"/>
        </w:rPr>
      </w:pPr>
      <w:r>
        <w:rPr>
          <w:sz w:val="24"/>
          <w:szCs w:val="24"/>
        </w:rPr>
        <w:t xml:space="preserve">If the work is exempted by the state or local code and a permit is not required, then </w:t>
      </w:r>
      <w:r w:rsidR="00FF521A">
        <w:rPr>
          <w:sz w:val="24"/>
          <w:szCs w:val="24"/>
        </w:rPr>
        <w:t>documentation from state or local code officials must be provided confirming that exemption.</w:t>
      </w:r>
      <w:r w:rsidR="00636186">
        <w:rPr>
          <w:sz w:val="24"/>
          <w:szCs w:val="24"/>
        </w:rPr>
        <w:t xml:space="preserve"> If exempted,</w:t>
      </w:r>
      <w:r w:rsidR="00FF521A">
        <w:rPr>
          <w:sz w:val="24"/>
          <w:szCs w:val="24"/>
        </w:rPr>
        <w:t xml:space="preserve"> </w:t>
      </w:r>
      <w:r>
        <w:rPr>
          <w:sz w:val="24"/>
          <w:szCs w:val="24"/>
        </w:rPr>
        <w:t xml:space="preserve">a qualified inspector may be used. </w:t>
      </w:r>
      <w:r w:rsidRPr="00A66CB1">
        <w:rPr>
          <w:rFonts w:cstheme="minorHAnsi"/>
          <w:sz w:val="24"/>
          <w:szCs w:val="24"/>
        </w:rPr>
        <w:t xml:space="preserve">A “qualified inspector” is defined as an individual with credentials appropriate for the type of work being performed, such as inspectors licensed by the State of Tennessee as Building, Mechanical, Plumbing, or Electrical Inspectors. </w:t>
      </w:r>
    </w:p>
    <w:p w14:paraId="1CE3047B" w14:textId="66E4B9D2" w:rsidR="00657E73" w:rsidRPr="00657E73" w:rsidRDefault="00657E73" w:rsidP="00657E73">
      <w:pPr>
        <w:spacing w:before="240"/>
        <w:ind w:left="720"/>
        <w:jc w:val="both"/>
        <w:rPr>
          <w:sz w:val="24"/>
          <w:szCs w:val="24"/>
        </w:rPr>
      </w:pPr>
      <w:r w:rsidRPr="00A66CB1">
        <w:rPr>
          <w:rFonts w:cstheme="minorHAnsi"/>
          <w:sz w:val="24"/>
          <w:szCs w:val="24"/>
        </w:rPr>
        <w:t xml:space="preserve">For </w:t>
      </w:r>
      <w:r w:rsidR="00636186">
        <w:rPr>
          <w:rFonts w:cstheme="minorHAnsi"/>
          <w:sz w:val="24"/>
          <w:szCs w:val="24"/>
        </w:rPr>
        <w:t>an activity where the state or local code officials do not issue a building permit</w:t>
      </w:r>
      <w:r w:rsidRPr="00A66CB1">
        <w:rPr>
          <w:rFonts w:cstheme="minorHAnsi"/>
          <w:sz w:val="24"/>
          <w:szCs w:val="24"/>
        </w:rPr>
        <w:t>, a qualified inspector may include home inspectors as appropriate for the work performed</w:t>
      </w:r>
      <w:r w:rsidR="00636186">
        <w:rPr>
          <w:rFonts w:cstheme="minorHAnsi"/>
          <w:sz w:val="24"/>
          <w:szCs w:val="24"/>
        </w:rPr>
        <w:t>, including in</w:t>
      </w:r>
      <w:r w:rsidRPr="00A66CB1">
        <w:rPr>
          <w:rFonts w:cstheme="minorHAnsi"/>
          <w:sz w:val="24"/>
          <w:szCs w:val="24"/>
        </w:rPr>
        <w:t xml:space="preserve">dividuals certified </w:t>
      </w:r>
      <w:r w:rsidR="00636186">
        <w:rPr>
          <w:rFonts w:cstheme="minorHAnsi"/>
          <w:sz w:val="24"/>
          <w:szCs w:val="24"/>
        </w:rPr>
        <w:t xml:space="preserve">as a housing inspector </w:t>
      </w:r>
      <w:r w:rsidRPr="00A66CB1">
        <w:rPr>
          <w:rFonts w:cstheme="minorHAnsi"/>
          <w:sz w:val="24"/>
          <w:szCs w:val="24"/>
        </w:rPr>
        <w:t xml:space="preserve">by a national organization such as the International Code Council, the National Fire Protection Association, or the </w:t>
      </w:r>
      <w:r w:rsidR="00636186">
        <w:rPr>
          <w:rFonts w:cstheme="minorHAnsi"/>
          <w:sz w:val="24"/>
          <w:szCs w:val="24"/>
        </w:rPr>
        <w:t xml:space="preserve">Standard Building Code </w:t>
      </w:r>
      <w:r w:rsidR="00636186">
        <w:rPr>
          <w:rFonts w:cstheme="minorHAnsi"/>
          <w:sz w:val="24"/>
          <w:szCs w:val="24"/>
        </w:rPr>
        <w:lastRenderedPageBreak/>
        <w:t>Congress. THDA may accept o</w:t>
      </w:r>
      <w:r w:rsidRPr="00A66CB1">
        <w:rPr>
          <w:rFonts w:cstheme="minorHAnsi"/>
          <w:sz w:val="24"/>
          <w:szCs w:val="24"/>
        </w:rPr>
        <w:t xml:space="preserve">ther qualifications on a </w:t>
      </w:r>
      <w:r w:rsidR="00636186" w:rsidRPr="00A66CB1">
        <w:rPr>
          <w:rFonts w:cstheme="minorHAnsi"/>
          <w:sz w:val="24"/>
          <w:szCs w:val="24"/>
        </w:rPr>
        <w:t>case-by-case</w:t>
      </w:r>
      <w:r w:rsidRPr="00A66CB1">
        <w:rPr>
          <w:rFonts w:cstheme="minorHAnsi"/>
          <w:sz w:val="24"/>
          <w:szCs w:val="24"/>
        </w:rPr>
        <w:t xml:space="preserve"> basis</w:t>
      </w:r>
      <w:r w:rsidR="00636186">
        <w:rPr>
          <w:rFonts w:cstheme="minorHAnsi"/>
          <w:sz w:val="24"/>
          <w:szCs w:val="24"/>
        </w:rPr>
        <w:t>; however, THDA</w:t>
      </w:r>
      <w:r w:rsidRPr="00A66CB1">
        <w:rPr>
          <w:rFonts w:cstheme="minorHAnsi"/>
          <w:sz w:val="24"/>
          <w:szCs w:val="24"/>
        </w:rPr>
        <w:t xml:space="preserve"> approval </w:t>
      </w:r>
      <w:r w:rsidR="00636186">
        <w:rPr>
          <w:rFonts w:cstheme="minorHAnsi"/>
          <w:sz w:val="24"/>
          <w:szCs w:val="24"/>
        </w:rPr>
        <w:t xml:space="preserve">is required </w:t>
      </w:r>
      <w:r w:rsidRPr="00A66CB1">
        <w:rPr>
          <w:rFonts w:cstheme="minorHAnsi"/>
          <w:sz w:val="24"/>
          <w:szCs w:val="24"/>
        </w:rPr>
        <w:t xml:space="preserve">before the </w:t>
      </w:r>
      <w:r w:rsidR="007E5796">
        <w:rPr>
          <w:rFonts w:cstheme="minorHAnsi"/>
          <w:sz w:val="24"/>
          <w:szCs w:val="24"/>
        </w:rPr>
        <w:t xml:space="preserve">individual </w:t>
      </w:r>
      <w:r w:rsidRPr="00A66CB1">
        <w:rPr>
          <w:rFonts w:cstheme="minorHAnsi"/>
          <w:sz w:val="24"/>
          <w:szCs w:val="24"/>
        </w:rPr>
        <w:t>may perform inspections.</w:t>
      </w:r>
    </w:p>
    <w:p w14:paraId="1CBDB9F8" w14:textId="521FB2A2" w:rsidR="00B82F3E" w:rsidRPr="000456F9" w:rsidRDefault="00B82F3E" w:rsidP="00CF4A9C">
      <w:pPr>
        <w:spacing w:before="240"/>
        <w:ind w:left="720"/>
        <w:jc w:val="both"/>
        <w:rPr>
          <w:sz w:val="24"/>
          <w:szCs w:val="24"/>
        </w:rPr>
      </w:pPr>
      <w:r w:rsidRPr="000456F9">
        <w:rPr>
          <w:i/>
          <w:sz w:val="24"/>
          <w:szCs w:val="24"/>
          <w:u w:val="single"/>
        </w:rPr>
        <w:t>Visitability.</w:t>
      </w:r>
      <w:r w:rsidRPr="000456F9">
        <w:rPr>
          <w:sz w:val="24"/>
          <w:szCs w:val="24"/>
        </w:rPr>
        <w:t xml:space="preserve"> </w:t>
      </w:r>
      <w:r w:rsidR="00657E73">
        <w:rPr>
          <w:sz w:val="24"/>
          <w:szCs w:val="24"/>
        </w:rPr>
        <w:t xml:space="preserve">THDA will award </w:t>
      </w:r>
      <w:r w:rsidR="00657E73" w:rsidRPr="00657E73">
        <w:rPr>
          <w:sz w:val="24"/>
          <w:szCs w:val="24"/>
        </w:rPr>
        <w:t>a</w:t>
      </w:r>
      <w:r w:rsidR="003B3F01" w:rsidRPr="00657E73">
        <w:rPr>
          <w:sz w:val="24"/>
          <w:szCs w:val="24"/>
        </w:rPr>
        <w:t>dditional points</w:t>
      </w:r>
      <w:r w:rsidR="003B3F01" w:rsidRPr="000456F9">
        <w:rPr>
          <w:sz w:val="24"/>
          <w:szCs w:val="24"/>
        </w:rPr>
        <w:t xml:space="preserve"> </w:t>
      </w:r>
      <w:r w:rsidR="00657E73">
        <w:rPr>
          <w:sz w:val="24"/>
          <w:szCs w:val="24"/>
        </w:rPr>
        <w:t xml:space="preserve">for applications that propose newly constructed </w:t>
      </w:r>
      <w:r w:rsidR="003B3F01" w:rsidRPr="000456F9">
        <w:rPr>
          <w:sz w:val="24"/>
          <w:szCs w:val="24"/>
        </w:rPr>
        <w:t xml:space="preserve">single-family or multi-family projects that include design features to make the units </w:t>
      </w:r>
      <w:r w:rsidR="002469AE">
        <w:rPr>
          <w:sz w:val="24"/>
          <w:szCs w:val="24"/>
        </w:rPr>
        <w:t>visitable by individuals with physical disabilities</w:t>
      </w:r>
      <w:r w:rsidR="003B3F01" w:rsidRPr="000456F9">
        <w:rPr>
          <w:sz w:val="24"/>
          <w:szCs w:val="24"/>
        </w:rPr>
        <w:t>. These options include a step-free entrance</w:t>
      </w:r>
      <w:r w:rsidR="002469AE">
        <w:rPr>
          <w:sz w:val="24"/>
          <w:szCs w:val="24"/>
        </w:rPr>
        <w:t>,</w:t>
      </w:r>
      <w:r w:rsidR="002469AE" w:rsidRPr="000456F9">
        <w:rPr>
          <w:sz w:val="24"/>
          <w:szCs w:val="24"/>
        </w:rPr>
        <w:t xml:space="preserve"> </w:t>
      </w:r>
      <w:r w:rsidR="003B3F01" w:rsidRPr="000456F9">
        <w:rPr>
          <w:sz w:val="24"/>
          <w:szCs w:val="24"/>
        </w:rPr>
        <w:t>free passage of 32-36” for interior/exterior doorways</w:t>
      </w:r>
      <w:r w:rsidR="002469AE">
        <w:rPr>
          <w:sz w:val="24"/>
          <w:szCs w:val="24"/>
        </w:rPr>
        <w:t>,</w:t>
      </w:r>
      <w:r w:rsidR="002469AE" w:rsidRPr="000456F9">
        <w:rPr>
          <w:sz w:val="24"/>
          <w:szCs w:val="24"/>
        </w:rPr>
        <w:t xml:space="preserve"> </w:t>
      </w:r>
      <w:r w:rsidR="003B3F01" w:rsidRPr="000456F9">
        <w:rPr>
          <w:sz w:val="24"/>
          <w:szCs w:val="24"/>
        </w:rPr>
        <w:t xml:space="preserve">and easy use by individuals confined to a wheelchair. </w:t>
      </w:r>
      <w:r w:rsidR="00BB65C7">
        <w:rPr>
          <w:sz w:val="24"/>
          <w:szCs w:val="24"/>
        </w:rPr>
        <w:t xml:space="preserve">Further information about visitability may be found at </w:t>
      </w:r>
      <w:hyperlink r:id="rId9" w:history="1">
        <w:r w:rsidR="00BB65C7" w:rsidRPr="008F4AC6">
          <w:rPr>
            <w:rStyle w:val="Hyperlink"/>
            <w:sz w:val="24"/>
            <w:szCs w:val="24"/>
          </w:rPr>
          <w:t>www.visitability.org</w:t>
        </w:r>
      </w:hyperlink>
      <w:r w:rsidR="00BB65C7">
        <w:rPr>
          <w:sz w:val="24"/>
          <w:szCs w:val="24"/>
        </w:rPr>
        <w:t xml:space="preserve">. </w:t>
      </w:r>
    </w:p>
    <w:p w14:paraId="3594132B" w14:textId="63903A1B" w:rsidR="00F43D25" w:rsidRPr="000456F9" w:rsidRDefault="008070D2" w:rsidP="00CF4A9C">
      <w:pPr>
        <w:spacing w:before="240"/>
        <w:ind w:left="720"/>
        <w:jc w:val="both"/>
        <w:rPr>
          <w:sz w:val="24"/>
          <w:szCs w:val="24"/>
        </w:rPr>
      </w:pPr>
      <w:r w:rsidRPr="000456F9">
        <w:rPr>
          <w:i/>
          <w:sz w:val="24"/>
          <w:szCs w:val="24"/>
          <w:u w:val="single"/>
        </w:rPr>
        <w:t>Universal Design.</w:t>
      </w:r>
      <w:r w:rsidR="00F43D25" w:rsidRPr="000456F9">
        <w:rPr>
          <w:sz w:val="24"/>
          <w:szCs w:val="24"/>
        </w:rPr>
        <w:t xml:space="preserve"> </w:t>
      </w:r>
      <w:r w:rsidR="00657E73">
        <w:rPr>
          <w:sz w:val="24"/>
          <w:szCs w:val="24"/>
        </w:rPr>
        <w:t xml:space="preserve">THDA will award </w:t>
      </w:r>
      <w:r w:rsidR="00657E73" w:rsidRPr="00657E73">
        <w:rPr>
          <w:sz w:val="24"/>
          <w:szCs w:val="24"/>
        </w:rPr>
        <w:t>a</w:t>
      </w:r>
      <w:r w:rsidR="00F43D25" w:rsidRPr="00657E73">
        <w:rPr>
          <w:sz w:val="24"/>
          <w:szCs w:val="24"/>
        </w:rPr>
        <w:t xml:space="preserve">dditional points </w:t>
      </w:r>
      <w:r w:rsidR="00657E73" w:rsidRPr="00657E73">
        <w:rPr>
          <w:sz w:val="24"/>
          <w:szCs w:val="24"/>
        </w:rPr>
        <w:t>for</w:t>
      </w:r>
      <w:r w:rsidR="00A26FE5" w:rsidRPr="000456F9">
        <w:rPr>
          <w:sz w:val="24"/>
          <w:szCs w:val="24"/>
        </w:rPr>
        <w:t xml:space="preserve"> applications </w:t>
      </w:r>
      <w:r w:rsidR="00F43D25" w:rsidRPr="000456F9">
        <w:rPr>
          <w:sz w:val="24"/>
          <w:szCs w:val="24"/>
        </w:rPr>
        <w:t>that incorporate features that meet the needs of the greatest number of residents wit</w:t>
      </w:r>
      <w:r w:rsidR="00DA2F77">
        <w:rPr>
          <w:sz w:val="24"/>
          <w:szCs w:val="24"/>
        </w:rPr>
        <w:t>hin a community.</w:t>
      </w:r>
      <w:r w:rsidR="00F43D25" w:rsidRPr="000456F9">
        <w:rPr>
          <w:sz w:val="24"/>
          <w:szCs w:val="24"/>
        </w:rPr>
        <w:t xml:space="preserve"> Universal design differs from accessible design, which is primarily intended to meet the needs of persons with disabilities. Universal design, however, is inclusive of adaptable design as universal design incorporates structural features that will </w:t>
      </w:r>
      <w:r w:rsidR="00B2710F">
        <w:rPr>
          <w:sz w:val="24"/>
          <w:szCs w:val="24"/>
        </w:rPr>
        <w:t xml:space="preserve">allow </w:t>
      </w:r>
      <w:r w:rsidR="00F43D25" w:rsidRPr="000456F9">
        <w:rPr>
          <w:sz w:val="24"/>
          <w:szCs w:val="24"/>
        </w:rPr>
        <w:t>a residence to be adapted to an individual’s current or future needs.  Universal design features include, but are not limited to:</w:t>
      </w:r>
    </w:p>
    <w:p w14:paraId="0CB03BAE" w14:textId="77777777" w:rsidR="00F43D25" w:rsidRPr="000456F9" w:rsidRDefault="00F43D25" w:rsidP="00085EE7">
      <w:pPr>
        <w:pStyle w:val="ListParagraph"/>
        <w:numPr>
          <w:ilvl w:val="0"/>
          <w:numId w:val="4"/>
        </w:numPr>
        <w:spacing w:before="120"/>
        <w:ind w:left="1080"/>
        <w:jc w:val="both"/>
        <w:rPr>
          <w:sz w:val="24"/>
          <w:szCs w:val="24"/>
        </w:rPr>
      </w:pPr>
      <w:r w:rsidRPr="000456F9">
        <w:rPr>
          <w:sz w:val="24"/>
          <w:szCs w:val="24"/>
        </w:rPr>
        <w:t>Stepless entrances</w:t>
      </w:r>
    </w:p>
    <w:p w14:paraId="5FEE3AA1" w14:textId="77777777" w:rsidR="00F43D25" w:rsidRPr="000456F9" w:rsidRDefault="00F43D25" w:rsidP="00085EE7">
      <w:pPr>
        <w:pStyle w:val="ListParagraph"/>
        <w:numPr>
          <w:ilvl w:val="0"/>
          <w:numId w:val="4"/>
        </w:numPr>
        <w:spacing w:before="120"/>
        <w:ind w:left="1080"/>
        <w:contextualSpacing w:val="0"/>
        <w:jc w:val="both"/>
        <w:rPr>
          <w:sz w:val="24"/>
          <w:szCs w:val="24"/>
        </w:rPr>
      </w:pPr>
      <w:r w:rsidRPr="000456F9">
        <w:rPr>
          <w:sz w:val="24"/>
          <w:szCs w:val="24"/>
        </w:rPr>
        <w:t>Minimum 5’ x 5’ level clear space inside and outside entry door</w:t>
      </w:r>
    </w:p>
    <w:p w14:paraId="514C2A13" w14:textId="77777777" w:rsidR="00F43D25" w:rsidRPr="000456F9" w:rsidRDefault="00F43D25" w:rsidP="00085EE7">
      <w:pPr>
        <w:pStyle w:val="ListParagraph"/>
        <w:numPr>
          <w:ilvl w:val="0"/>
          <w:numId w:val="4"/>
        </w:numPr>
        <w:spacing w:before="120"/>
        <w:ind w:left="1080"/>
        <w:contextualSpacing w:val="0"/>
        <w:jc w:val="both"/>
        <w:rPr>
          <w:sz w:val="24"/>
          <w:szCs w:val="24"/>
        </w:rPr>
      </w:pPr>
      <w:r w:rsidRPr="000456F9">
        <w:rPr>
          <w:sz w:val="24"/>
          <w:szCs w:val="24"/>
        </w:rPr>
        <w:t>Broad blocking in walls around toilet, tub and shower for future placement of grab bars</w:t>
      </w:r>
    </w:p>
    <w:p w14:paraId="71F6F0D8" w14:textId="77777777" w:rsidR="00F43D25" w:rsidRPr="000456F9" w:rsidRDefault="00F43D25" w:rsidP="00085EE7">
      <w:pPr>
        <w:pStyle w:val="ListParagraph"/>
        <w:numPr>
          <w:ilvl w:val="0"/>
          <w:numId w:val="4"/>
        </w:numPr>
        <w:spacing w:before="120"/>
        <w:ind w:left="1080"/>
        <w:contextualSpacing w:val="0"/>
        <w:jc w:val="both"/>
        <w:rPr>
          <w:sz w:val="24"/>
          <w:szCs w:val="24"/>
        </w:rPr>
      </w:pPr>
      <w:r w:rsidRPr="000456F9">
        <w:rPr>
          <w:sz w:val="24"/>
          <w:szCs w:val="24"/>
        </w:rPr>
        <w:t>Full-extension, pull out drawers, shelves, and racks in base cabinets in the kitchen</w:t>
      </w:r>
    </w:p>
    <w:p w14:paraId="2982756C" w14:textId="77777777" w:rsidR="00F43D25" w:rsidRPr="000456F9" w:rsidRDefault="00F43D25" w:rsidP="00085EE7">
      <w:pPr>
        <w:pStyle w:val="ListParagraph"/>
        <w:numPr>
          <w:ilvl w:val="0"/>
          <w:numId w:val="4"/>
        </w:numPr>
        <w:spacing w:before="120"/>
        <w:ind w:left="1080"/>
        <w:contextualSpacing w:val="0"/>
        <w:jc w:val="both"/>
        <w:rPr>
          <w:sz w:val="24"/>
          <w:szCs w:val="24"/>
        </w:rPr>
      </w:pPr>
      <w:r w:rsidRPr="000456F9">
        <w:rPr>
          <w:sz w:val="24"/>
          <w:szCs w:val="24"/>
        </w:rPr>
        <w:t xml:space="preserve">Front mounted controls on all appliances </w:t>
      </w:r>
    </w:p>
    <w:p w14:paraId="0CDF79E4" w14:textId="77777777" w:rsidR="00F43D25" w:rsidRPr="000456F9" w:rsidRDefault="00F43D25" w:rsidP="00085EE7">
      <w:pPr>
        <w:pStyle w:val="ListParagraph"/>
        <w:numPr>
          <w:ilvl w:val="0"/>
          <w:numId w:val="4"/>
        </w:numPr>
        <w:spacing w:before="120"/>
        <w:ind w:left="1080"/>
        <w:contextualSpacing w:val="0"/>
        <w:jc w:val="both"/>
        <w:rPr>
          <w:sz w:val="24"/>
          <w:szCs w:val="24"/>
        </w:rPr>
      </w:pPr>
      <w:r w:rsidRPr="000456F9">
        <w:rPr>
          <w:sz w:val="24"/>
          <w:szCs w:val="24"/>
        </w:rPr>
        <w:t>Lever door handles</w:t>
      </w:r>
    </w:p>
    <w:p w14:paraId="7453E881" w14:textId="77777777" w:rsidR="00F43D25" w:rsidRPr="000456F9" w:rsidRDefault="00F43D25" w:rsidP="00085EE7">
      <w:pPr>
        <w:pStyle w:val="ListParagraph"/>
        <w:numPr>
          <w:ilvl w:val="0"/>
          <w:numId w:val="4"/>
        </w:numPr>
        <w:spacing w:before="120"/>
        <w:ind w:left="1080"/>
        <w:contextualSpacing w:val="0"/>
        <w:jc w:val="both"/>
        <w:rPr>
          <w:sz w:val="24"/>
          <w:szCs w:val="24"/>
        </w:rPr>
      </w:pPr>
      <w:r w:rsidRPr="000456F9">
        <w:rPr>
          <w:sz w:val="24"/>
          <w:szCs w:val="24"/>
        </w:rPr>
        <w:t>Loop handle pulls on drawers and cabinet doors</w:t>
      </w:r>
    </w:p>
    <w:p w14:paraId="25CC19FB" w14:textId="77777777" w:rsidR="00BF604B" w:rsidRDefault="00F43D25" w:rsidP="00BF604B">
      <w:pPr>
        <w:pStyle w:val="ListParagraph"/>
        <w:spacing w:before="240"/>
        <w:contextualSpacing w:val="0"/>
        <w:jc w:val="both"/>
        <w:rPr>
          <w:sz w:val="24"/>
          <w:szCs w:val="24"/>
        </w:rPr>
      </w:pPr>
      <w:r w:rsidRPr="000456F9">
        <w:rPr>
          <w:sz w:val="24"/>
          <w:szCs w:val="24"/>
        </w:rPr>
        <w:t>More inf</w:t>
      </w:r>
      <w:r w:rsidR="008070D2" w:rsidRPr="000456F9">
        <w:rPr>
          <w:sz w:val="24"/>
          <w:szCs w:val="24"/>
        </w:rPr>
        <w:t>ormation on Universal Design ma</w:t>
      </w:r>
      <w:r w:rsidRPr="000456F9">
        <w:rPr>
          <w:sz w:val="24"/>
          <w:szCs w:val="24"/>
        </w:rPr>
        <w:t>y</w:t>
      </w:r>
      <w:r w:rsidR="008070D2" w:rsidRPr="000456F9">
        <w:rPr>
          <w:sz w:val="24"/>
          <w:szCs w:val="24"/>
        </w:rPr>
        <w:t xml:space="preserve"> </w:t>
      </w:r>
      <w:r w:rsidRPr="000456F9">
        <w:rPr>
          <w:sz w:val="24"/>
          <w:szCs w:val="24"/>
        </w:rPr>
        <w:t>be found a</w:t>
      </w:r>
      <w:r w:rsidR="008070D2" w:rsidRPr="000456F9">
        <w:rPr>
          <w:sz w:val="24"/>
          <w:szCs w:val="24"/>
        </w:rPr>
        <w:t>t</w:t>
      </w:r>
      <w:r w:rsidRPr="000456F9">
        <w:rPr>
          <w:sz w:val="24"/>
          <w:szCs w:val="24"/>
        </w:rPr>
        <w:t xml:space="preserve"> The Center for Universal Design at North Carolina State University:</w:t>
      </w:r>
      <w:r w:rsidR="00BF604B">
        <w:rPr>
          <w:sz w:val="24"/>
          <w:szCs w:val="24"/>
        </w:rPr>
        <w:t xml:space="preserve"> </w:t>
      </w:r>
    </w:p>
    <w:p w14:paraId="436EB16D" w14:textId="0CC968F4" w:rsidR="00EC5583" w:rsidRPr="00BF604B" w:rsidRDefault="007E5796" w:rsidP="00BF604B">
      <w:pPr>
        <w:pStyle w:val="ListParagraph"/>
        <w:spacing w:before="240"/>
        <w:ind w:left="1800"/>
        <w:contextualSpacing w:val="0"/>
        <w:jc w:val="both"/>
        <w:rPr>
          <w:sz w:val="24"/>
          <w:szCs w:val="24"/>
        </w:rPr>
      </w:pPr>
      <w:r>
        <w:rPr>
          <w:sz w:val="24"/>
          <w:szCs w:val="24"/>
        </w:rPr>
        <w:t xml:space="preserve"> </w:t>
      </w:r>
      <w:hyperlink r:id="rId10" w:history="1">
        <w:r w:rsidR="00BF604B" w:rsidRPr="008624EC">
          <w:rPr>
            <w:rStyle w:val="Hyperlink"/>
            <w:sz w:val="24"/>
            <w:szCs w:val="24"/>
          </w:rPr>
          <w:t>https://projects.ncsu.edu/ncsu/design/cud/pubs_p/docs/UDinHousing.pdf</w:t>
        </w:r>
      </w:hyperlink>
    </w:p>
    <w:p w14:paraId="759CB2B1" w14:textId="0FB6BE58" w:rsidR="00BC7315" w:rsidRPr="000456F9" w:rsidRDefault="005B777B" w:rsidP="00466336">
      <w:pPr>
        <w:spacing w:before="360"/>
        <w:ind w:left="360"/>
        <w:jc w:val="both"/>
        <w:rPr>
          <w:b/>
          <w:sz w:val="24"/>
          <w:szCs w:val="24"/>
        </w:rPr>
      </w:pPr>
      <w:r>
        <w:rPr>
          <w:b/>
          <w:sz w:val="24"/>
          <w:szCs w:val="24"/>
        </w:rPr>
        <w:t>6</w:t>
      </w:r>
      <w:r w:rsidR="00BC7315" w:rsidRPr="000456F9">
        <w:rPr>
          <w:b/>
          <w:sz w:val="24"/>
          <w:szCs w:val="24"/>
        </w:rPr>
        <w:t>.</w:t>
      </w:r>
      <w:r w:rsidR="00BC7315" w:rsidRPr="000456F9">
        <w:rPr>
          <w:b/>
          <w:sz w:val="24"/>
          <w:szCs w:val="24"/>
        </w:rPr>
        <w:tab/>
        <w:t xml:space="preserve">RENT </w:t>
      </w:r>
      <w:r w:rsidR="006D5489">
        <w:rPr>
          <w:b/>
          <w:sz w:val="24"/>
          <w:szCs w:val="24"/>
        </w:rPr>
        <w:t>REQUIREMENTS</w:t>
      </w:r>
    </w:p>
    <w:p w14:paraId="2F174839" w14:textId="2672BF67" w:rsidR="00461AE7" w:rsidRDefault="00BC7315" w:rsidP="000671A4">
      <w:pPr>
        <w:spacing w:before="240"/>
        <w:ind w:left="720"/>
        <w:jc w:val="both"/>
        <w:rPr>
          <w:sz w:val="24"/>
          <w:szCs w:val="24"/>
        </w:rPr>
      </w:pPr>
      <w:r w:rsidRPr="000456F9">
        <w:rPr>
          <w:sz w:val="24"/>
          <w:szCs w:val="24"/>
        </w:rPr>
        <w:t xml:space="preserve">Every rental unit </w:t>
      </w:r>
      <w:r w:rsidR="00FA1C53" w:rsidRPr="000456F9">
        <w:rPr>
          <w:sz w:val="24"/>
          <w:szCs w:val="24"/>
        </w:rPr>
        <w:t xml:space="preserve">assisted with </w:t>
      </w:r>
      <w:r w:rsidR="0025434A">
        <w:rPr>
          <w:sz w:val="24"/>
          <w:szCs w:val="24"/>
        </w:rPr>
        <w:t>CHI-2</w:t>
      </w:r>
      <w:r w:rsidR="00FA1C53" w:rsidRPr="000456F9">
        <w:rPr>
          <w:sz w:val="24"/>
          <w:szCs w:val="24"/>
        </w:rPr>
        <w:t xml:space="preserve"> funds </w:t>
      </w:r>
      <w:r w:rsidRPr="000456F9">
        <w:rPr>
          <w:sz w:val="24"/>
          <w:szCs w:val="24"/>
        </w:rPr>
        <w:t xml:space="preserve">is subject to rent controls designed to make sure that rents are affordable to </w:t>
      </w:r>
      <w:r w:rsidR="004E3BDE" w:rsidRPr="000456F9">
        <w:rPr>
          <w:sz w:val="24"/>
          <w:szCs w:val="24"/>
        </w:rPr>
        <w:t>low</w:t>
      </w:r>
      <w:r w:rsidR="00DF1F2A" w:rsidRPr="000456F9">
        <w:rPr>
          <w:sz w:val="24"/>
          <w:szCs w:val="24"/>
        </w:rPr>
        <w:t>-</w:t>
      </w:r>
      <w:r w:rsidRPr="000456F9">
        <w:rPr>
          <w:sz w:val="24"/>
          <w:szCs w:val="24"/>
        </w:rPr>
        <w:t xml:space="preserve">income households.  </w:t>
      </w:r>
      <w:r w:rsidR="00461AE7">
        <w:rPr>
          <w:sz w:val="24"/>
          <w:szCs w:val="24"/>
        </w:rPr>
        <w:t>Unless the housing is a group home or a Single Room Occupancy (SRO) unit, t</w:t>
      </w:r>
      <w:r w:rsidRPr="000456F9">
        <w:rPr>
          <w:sz w:val="24"/>
          <w:szCs w:val="24"/>
        </w:rPr>
        <w:t xml:space="preserve">he maximum rents are the </w:t>
      </w:r>
      <w:r w:rsidRPr="000456F9">
        <w:rPr>
          <w:i/>
          <w:sz w:val="24"/>
          <w:szCs w:val="24"/>
        </w:rPr>
        <w:t>High HOME rents</w:t>
      </w:r>
      <w:r w:rsidR="00F964BC" w:rsidRPr="000456F9">
        <w:rPr>
          <w:i/>
          <w:sz w:val="24"/>
          <w:szCs w:val="24"/>
        </w:rPr>
        <w:t>.</w:t>
      </w:r>
      <w:r w:rsidR="00F964BC" w:rsidRPr="00D3737F">
        <w:rPr>
          <w:sz w:val="24"/>
          <w:szCs w:val="24"/>
        </w:rPr>
        <w:t xml:space="preserve"> </w:t>
      </w:r>
      <w:r w:rsidR="00461AE7">
        <w:rPr>
          <w:sz w:val="24"/>
          <w:szCs w:val="24"/>
        </w:rPr>
        <w:t xml:space="preserve">The maximum rent for a Group </w:t>
      </w:r>
      <w:r w:rsidR="0025434A">
        <w:rPr>
          <w:sz w:val="24"/>
          <w:szCs w:val="24"/>
        </w:rPr>
        <w:t>H</w:t>
      </w:r>
      <w:r w:rsidR="00461AE7">
        <w:rPr>
          <w:sz w:val="24"/>
          <w:szCs w:val="24"/>
        </w:rPr>
        <w:t xml:space="preserve">ome or a SRO unit is defined below.  </w:t>
      </w:r>
    </w:p>
    <w:p w14:paraId="178022F2" w14:textId="0C65B326" w:rsidR="00BC7315" w:rsidRPr="000456F9" w:rsidRDefault="00FD2FDA" w:rsidP="000671A4">
      <w:pPr>
        <w:spacing w:before="240"/>
        <w:ind w:left="720"/>
        <w:jc w:val="both"/>
        <w:rPr>
          <w:sz w:val="24"/>
          <w:szCs w:val="24"/>
        </w:rPr>
      </w:pPr>
      <w:r w:rsidRPr="000456F9">
        <w:rPr>
          <w:sz w:val="24"/>
          <w:szCs w:val="24"/>
        </w:rPr>
        <w:t>However,</w:t>
      </w:r>
      <w:r w:rsidRPr="000456F9">
        <w:rPr>
          <w:i/>
          <w:sz w:val="24"/>
          <w:szCs w:val="24"/>
        </w:rPr>
        <w:t xml:space="preserve"> </w:t>
      </w:r>
      <w:r w:rsidR="006F37D1">
        <w:rPr>
          <w:sz w:val="24"/>
          <w:szCs w:val="24"/>
        </w:rPr>
        <w:t>Grantees</w:t>
      </w:r>
      <w:r w:rsidR="00F964BC" w:rsidRPr="000456F9">
        <w:rPr>
          <w:sz w:val="24"/>
          <w:szCs w:val="24"/>
        </w:rPr>
        <w:t xml:space="preserve"> are encouraged</w:t>
      </w:r>
      <w:r w:rsidR="00325420">
        <w:rPr>
          <w:sz w:val="24"/>
          <w:szCs w:val="24"/>
        </w:rPr>
        <w:t>, but not required,</w:t>
      </w:r>
      <w:r w:rsidR="00F964BC" w:rsidRPr="000456F9">
        <w:rPr>
          <w:sz w:val="24"/>
          <w:szCs w:val="24"/>
        </w:rPr>
        <w:t xml:space="preserve"> to charge tena</w:t>
      </w:r>
      <w:r w:rsidRPr="000456F9">
        <w:rPr>
          <w:sz w:val="24"/>
          <w:szCs w:val="24"/>
        </w:rPr>
        <w:t>n</w:t>
      </w:r>
      <w:r w:rsidR="00F964BC" w:rsidRPr="000456F9">
        <w:rPr>
          <w:sz w:val="24"/>
          <w:szCs w:val="24"/>
        </w:rPr>
        <w:t>ts</w:t>
      </w:r>
      <w:r w:rsidR="00BC7315" w:rsidRPr="000456F9">
        <w:rPr>
          <w:sz w:val="24"/>
          <w:szCs w:val="24"/>
        </w:rPr>
        <w:t xml:space="preserve"> </w:t>
      </w:r>
      <w:r w:rsidR="00F964BC" w:rsidRPr="000456F9">
        <w:rPr>
          <w:sz w:val="24"/>
          <w:szCs w:val="24"/>
        </w:rPr>
        <w:t xml:space="preserve">no more than </w:t>
      </w:r>
      <w:r w:rsidR="00BC7315" w:rsidRPr="000456F9">
        <w:rPr>
          <w:sz w:val="24"/>
          <w:szCs w:val="24"/>
        </w:rPr>
        <w:t xml:space="preserve">30% of gross monthly income for rent.  See </w:t>
      </w:r>
      <w:r w:rsidR="00BC7315" w:rsidRPr="000456F9">
        <w:rPr>
          <w:i/>
          <w:sz w:val="24"/>
          <w:szCs w:val="24"/>
        </w:rPr>
        <w:t xml:space="preserve">Attachment </w:t>
      </w:r>
      <w:r w:rsidR="00961F24" w:rsidRPr="000456F9">
        <w:rPr>
          <w:i/>
          <w:sz w:val="24"/>
          <w:szCs w:val="24"/>
        </w:rPr>
        <w:t>Four</w:t>
      </w:r>
      <w:r w:rsidR="00657E73">
        <w:rPr>
          <w:i/>
          <w:sz w:val="24"/>
          <w:szCs w:val="24"/>
        </w:rPr>
        <w:t>:</w:t>
      </w:r>
      <w:r w:rsidR="00BC7315" w:rsidRPr="000456F9">
        <w:rPr>
          <w:i/>
          <w:sz w:val="24"/>
          <w:szCs w:val="24"/>
        </w:rPr>
        <w:t xml:space="preserve"> HOME Program Rents</w:t>
      </w:r>
      <w:r w:rsidR="00BC7315" w:rsidRPr="000456F9">
        <w:rPr>
          <w:sz w:val="24"/>
          <w:szCs w:val="24"/>
        </w:rPr>
        <w:t>.</w:t>
      </w:r>
    </w:p>
    <w:p w14:paraId="29C94E18" w14:textId="515A26A0" w:rsidR="00BC7315" w:rsidRPr="000456F9" w:rsidRDefault="00BC7315" w:rsidP="00BC7315">
      <w:pPr>
        <w:spacing w:before="240"/>
        <w:ind w:left="720"/>
        <w:jc w:val="both"/>
        <w:rPr>
          <w:sz w:val="24"/>
          <w:szCs w:val="24"/>
        </w:rPr>
      </w:pPr>
      <w:r w:rsidRPr="000456F9">
        <w:rPr>
          <w:sz w:val="24"/>
          <w:szCs w:val="24"/>
        </w:rPr>
        <w:t xml:space="preserve">Rents are controlled for the length of the compliance period, and </w:t>
      </w:r>
      <w:r w:rsidR="00657E73">
        <w:rPr>
          <w:sz w:val="24"/>
          <w:szCs w:val="24"/>
        </w:rPr>
        <w:t>may be adjusted</w:t>
      </w:r>
      <w:r w:rsidRPr="000456F9">
        <w:rPr>
          <w:sz w:val="24"/>
          <w:szCs w:val="24"/>
        </w:rPr>
        <w:t xml:space="preserve"> </w:t>
      </w:r>
      <w:r w:rsidR="00657E73">
        <w:rPr>
          <w:sz w:val="24"/>
          <w:szCs w:val="24"/>
        </w:rPr>
        <w:t>annually in accordance with the applicable HUD standard</w:t>
      </w:r>
      <w:r w:rsidRPr="000456F9">
        <w:rPr>
          <w:sz w:val="24"/>
          <w:szCs w:val="24"/>
        </w:rPr>
        <w:t xml:space="preserve">.  The published rents include utilities.  </w:t>
      </w:r>
      <w:r w:rsidRPr="000456F9">
        <w:rPr>
          <w:i/>
          <w:sz w:val="24"/>
          <w:szCs w:val="24"/>
        </w:rPr>
        <w:t xml:space="preserve">The cost </w:t>
      </w:r>
      <w:r w:rsidRPr="000456F9">
        <w:rPr>
          <w:i/>
          <w:sz w:val="24"/>
          <w:szCs w:val="24"/>
        </w:rPr>
        <w:lastRenderedPageBreak/>
        <w:t>of utilities paid by tenants must be subtracted</w:t>
      </w:r>
      <w:r w:rsidR="00657E73">
        <w:rPr>
          <w:i/>
          <w:sz w:val="24"/>
          <w:szCs w:val="24"/>
        </w:rPr>
        <w:t xml:space="preserve">, </w:t>
      </w:r>
      <w:r w:rsidRPr="000456F9">
        <w:rPr>
          <w:i/>
          <w:sz w:val="24"/>
          <w:szCs w:val="24"/>
        </w:rPr>
        <w:t>usin</w:t>
      </w:r>
      <w:r w:rsidR="00657E73">
        <w:rPr>
          <w:i/>
          <w:sz w:val="24"/>
          <w:szCs w:val="24"/>
        </w:rPr>
        <w:t>g applicable utility allowances,</w:t>
      </w:r>
      <w:r w:rsidRPr="000456F9">
        <w:rPr>
          <w:i/>
          <w:sz w:val="24"/>
          <w:szCs w:val="24"/>
        </w:rPr>
        <w:t xml:space="preserve"> from the published HOME rents to determine the maximum allowable rents.</w:t>
      </w:r>
      <w:r w:rsidRPr="000456F9">
        <w:rPr>
          <w:sz w:val="24"/>
          <w:szCs w:val="24"/>
        </w:rPr>
        <w:t xml:space="preserve">  </w:t>
      </w:r>
    </w:p>
    <w:p w14:paraId="2AC5C0B1" w14:textId="5C9FF762" w:rsidR="00BC7315" w:rsidRDefault="00BC7315" w:rsidP="00BC7315">
      <w:pPr>
        <w:pStyle w:val="BodyTextIndent"/>
        <w:spacing w:before="240"/>
        <w:ind w:firstLine="0"/>
        <w:rPr>
          <w:szCs w:val="24"/>
        </w:rPr>
      </w:pPr>
      <w:r w:rsidRPr="000456F9">
        <w:rPr>
          <w:szCs w:val="24"/>
        </w:rPr>
        <w:t>Each Grantee should be aware of the market conditions of the area i</w:t>
      </w:r>
      <w:r w:rsidR="006C5D11">
        <w:rPr>
          <w:szCs w:val="24"/>
        </w:rPr>
        <w:t>n which the project is located.</w:t>
      </w:r>
      <w:r w:rsidRPr="000456F9">
        <w:rPr>
          <w:szCs w:val="24"/>
        </w:rPr>
        <w:t xml:space="preserve"> The High HOME rents are maximum rents which</w:t>
      </w:r>
      <w:r w:rsidR="0068753C">
        <w:rPr>
          <w:szCs w:val="24"/>
        </w:rPr>
        <w:t xml:space="preserve"> can be charged.</w:t>
      </w:r>
      <w:r w:rsidRPr="000456F9">
        <w:rPr>
          <w:szCs w:val="24"/>
        </w:rPr>
        <w:t xml:space="preserve"> Each project should show market feasibility not based upon the High HOME rents, but rather upon area housing markets and </w:t>
      </w:r>
      <w:r w:rsidR="00F04D1D">
        <w:rPr>
          <w:szCs w:val="24"/>
        </w:rPr>
        <w:t xml:space="preserve">CHI-2 </w:t>
      </w:r>
      <w:r w:rsidRPr="000456F9">
        <w:rPr>
          <w:szCs w:val="24"/>
        </w:rPr>
        <w:t>occupancy requirements</w:t>
      </w:r>
      <w:r w:rsidRPr="00657E73">
        <w:rPr>
          <w:szCs w:val="24"/>
        </w:rPr>
        <w:t>.</w:t>
      </w:r>
      <w:r w:rsidRPr="000456F9">
        <w:rPr>
          <w:szCs w:val="24"/>
        </w:rPr>
        <w:t xml:space="preserve">  Rents shall not exceed the published High HOME rents</w:t>
      </w:r>
      <w:r w:rsidR="00657E73">
        <w:rPr>
          <w:szCs w:val="24"/>
        </w:rPr>
        <w:t xml:space="preserve"> as </w:t>
      </w:r>
      <w:r w:rsidRPr="000456F9">
        <w:rPr>
          <w:szCs w:val="24"/>
        </w:rPr>
        <w:t>adjusted for utility</w:t>
      </w:r>
      <w:r w:rsidR="00CA4C27">
        <w:rPr>
          <w:szCs w:val="24"/>
        </w:rPr>
        <w:t xml:space="preserve"> arrangements and bedroom size.</w:t>
      </w:r>
      <w:r w:rsidRPr="000456F9">
        <w:rPr>
          <w:szCs w:val="24"/>
        </w:rPr>
        <w:t xml:space="preserve"> However, because these rents must also be attractive to </w:t>
      </w:r>
      <w:r w:rsidR="006F37D1" w:rsidRPr="00657E73">
        <w:rPr>
          <w:i/>
          <w:szCs w:val="24"/>
        </w:rPr>
        <w:t>low-</w:t>
      </w:r>
      <w:r w:rsidRPr="00657E73">
        <w:rPr>
          <w:i/>
          <w:szCs w:val="24"/>
        </w:rPr>
        <w:t>income</w:t>
      </w:r>
      <w:r w:rsidRPr="00657E73">
        <w:rPr>
          <w:szCs w:val="24"/>
        </w:rPr>
        <w:t xml:space="preserve"> tenants,</w:t>
      </w:r>
      <w:r w:rsidRPr="000456F9">
        <w:rPr>
          <w:szCs w:val="24"/>
        </w:rPr>
        <w:t xml:space="preserve"> actual rents may be lower than the High HOME rents to keep within 30% of the tenant’s monthly inc</w:t>
      </w:r>
      <w:r w:rsidR="00CA4C27">
        <w:rPr>
          <w:szCs w:val="24"/>
        </w:rPr>
        <w:t>ome.</w:t>
      </w:r>
      <w:r w:rsidRPr="000456F9">
        <w:rPr>
          <w:szCs w:val="24"/>
        </w:rPr>
        <w:t xml:space="preserve"> </w:t>
      </w:r>
      <w:r w:rsidR="00657E73">
        <w:rPr>
          <w:szCs w:val="24"/>
        </w:rPr>
        <w:t>The Grantee should design the development’s rent structure to consider</w:t>
      </w:r>
      <w:r w:rsidRPr="000456F9">
        <w:rPr>
          <w:szCs w:val="24"/>
        </w:rPr>
        <w:t xml:space="preserve"> the market feasibility of</w:t>
      </w:r>
      <w:r w:rsidR="00657E73">
        <w:rPr>
          <w:szCs w:val="24"/>
        </w:rPr>
        <w:t xml:space="preserve"> the project</w:t>
      </w:r>
      <w:r w:rsidRPr="000456F9">
        <w:rPr>
          <w:szCs w:val="24"/>
        </w:rPr>
        <w:t>.</w:t>
      </w:r>
    </w:p>
    <w:p w14:paraId="6F6CBFC5" w14:textId="59377279" w:rsidR="00170367" w:rsidRPr="000456F9" w:rsidRDefault="00885938" w:rsidP="00BC7315">
      <w:pPr>
        <w:pStyle w:val="BodyTextIndent"/>
        <w:spacing w:before="240"/>
        <w:ind w:firstLine="0"/>
        <w:rPr>
          <w:szCs w:val="24"/>
        </w:rPr>
      </w:pPr>
      <w:r>
        <w:rPr>
          <w:szCs w:val="24"/>
        </w:rPr>
        <w:t>A</w:t>
      </w:r>
      <w:r w:rsidR="00170367">
        <w:rPr>
          <w:szCs w:val="24"/>
        </w:rPr>
        <w:t xml:space="preserve"> C</w:t>
      </w:r>
      <w:r w:rsidR="00F04D1D">
        <w:rPr>
          <w:szCs w:val="24"/>
        </w:rPr>
        <w:t>HI-2</w:t>
      </w:r>
      <w:r w:rsidR="00170367">
        <w:rPr>
          <w:szCs w:val="24"/>
        </w:rPr>
        <w:t xml:space="preserve"> Grant may </w:t>
      </w:r>
      <w:r w:rsidR="00CA4C27">
        <w:rPr>
          <w:szCs w:val="24"/>
        </w:rPr>
        <w:t xml:space="preserve">fund the </w:t>
      </w:r>
      <w:r w:rsidR="00170367">
        <w:rPr>
          <w:szCs w:val="24"/>
        </w:rPr>
        <w:t xml:space="preserve">development of a group home, a housing unit that </w:t>
      </w:r>
      <w:r w:rsidR="00F04D1D">
        <w:rPr>
          <w:szCs w:val="24"/>
        </w:rPr>
        <w:t xml:space="preserve">is </w:t>
      </w:r>
      <w:r w:rsidR="00170367">
        <w:rPr>
          <w:szCs w:val="24"/>
        </w:rPr>
        <w:t xml:space="preserve">occupied by two or more single persons or families.  </w:t>
      </w:r>
      <w:r>
        <w:rPr>
          <w:szCs w:val="24"/>
        </w:rPr>
        <w:t>A</w:t>
      </w:r>
      <w:r w:rsidR="00170367">
        <w:rPr>
          <w:szCs w:val="24"/>
        </w:rPr>
        <w:t xml:space="preserve"> group home consists of common space and/or facilities for group use by the occupants and, except in the case of a shared one-bedroom unit, a separate private space</w:t>
      </w:r>
      <w:r w:rsidR="00F04D1D">
        <w:rPr>
          <w:szCs w:val="24"/>
        </w:rPr>
        <w:t xml:space="preserve"> for each individual or family.</w:t>
      </w:r>
      <w:r w:rsidR="00170367">
        <w:rPr>
          <w:szCs w:val="24"/>
        </w:rPr>
        <w:t xml:space="preserve"> </w:t>
      </w:r>
      <w:r w:rsidR="00D2360A">
        <w:rPr>
          <w:szCs w:val="24"/>
        </w:rPr>
        <w:t>The calculation of the applicable rent and tenant contributions must follow the following requirements:</w:t>
      </w:r>
    </w:p>
    <w:p w14:paraId="19B1CDF5" w14:textId="0BE19079" w:rsidR="00D2360A" w:rsidRPr="00466336" w:rsidRDefault="00170367" w:rsidP="00085EE7">
      <w:pPr>
        <w:pStyle w:val="BodyTextIndent"/>
        <w:numPr>
          <w:ilvl w:val="0"/>
          <w:numId w:val="12"/>
        </w:numPr>
        <w:spacing w:before="240"/>
        <w:ind w:left="1080"/>
        <w:rPr>
          <w:szCs w:val="24"/>
        </w:rPr>
      </w:pPr>
      <w:r w:rsidRPr="00466336">
        <w:rPr>
          <w:szCs w:val="24"/>
        </w:rPr>
        <w:t xml:space="preserve">A </w:t>
      </w:r>
      <w:r w:rsidR="00F04D1D">
        <w:rPr>
          <w:szCs w:val="24"/>
        </w:rPr>
        <w:t>CHI-2</w:t>
      </w:r>
      <w:r w:rsidRPr="00466336">
        <w:rPr>
          <w:szCs w:val="24"/>
        </w:rPr>
        <w:t>-assisted group home is treated as a</w:t>
      </w:r>
      <w:r w:rsidR="00D2360A" w:rsidRPr="00466336">
        <w:rPr>
          <w:szCs w:val="24"/>
        </w:rPr>
        <w:t xml:space="preserve"> </w:t>
      </w:r>
      <w:r w:rsidRPr="00466336">
        <w:rPr>
          <w:szCs w:val="24"/>
        </w:rPr>
        <w:t xml:space="preserve">single </w:t>
      </w:r>
      <w:r w:rsidR="00F04D1D">
        <w:rPr>
          <w:szCs w:val="24"/>
        </w:rPr>
        <w:t>CHI-2</w:t>
      </w:r>
      <w:r w:rsidRPr="00466336">
        <w:rPr>
          <w:szCs w:val="24"/>
        </w:rPr>
        <w:t>-assisted housing unit with multiple bedrooms.  The rent limit for a group home is the HUD-published Fair Market Rent (FMR) rent limit for the total number of bedrooms in the group home.</w:t>
      </w:r>
    </w:p>
    <w:p w14:paraId="1F71E5A5" w14:textId="38F3328D" w:rsidR="00D2360A" w:rsidRPr="00466336" w:rsidRDefault="00170367" w:rsidP="00085EE7">
      <w:pPr>
        <w:pStyle w:val="BodyTextIndent"/>
        <w:numPr>
          <w:ilvl w:val="0"/>
          <w:numId w:val="12"/>
        </w:numPr>
        <w:spacing w:before="240"/>
        <w:ind w:left="1080"/>
        <w:rPr>
          <w:szCs w:val="24"/>
        </w:rPr>
      </w:pPr>
      <w:r w:rsidRPr="00466336">
        <w:rPr>
          <w:szCs w:val="24"/>
        </w:rPr>
        <w:t>However, the bedrooms of live-in supportive service providers or other non-client staff are not included when calculating the total number of bedrooms for the purpose of establishing the rent. For ex</w:t>
      </w:r>
      <w:r w:rsidR="00D2360A" w:rsidRPr="00466336">
        <w:rPr>
          <w:szCs w:val="24"/>
        </w:rPr>
        <w:t>ample, if one bedroom in a four-</w:t>
      </w:r>
      <w:r w:rsidRPr="00466336">
        <w:rPr>
          <w:szCs w:val="24"/>
        </w:rPr>
        <w:t>bedroom home is occupied by a service provider, the maximum rent for the group home is the HUD-</w:t>
      </w:r>
      <w:r w:rsidR="00D2360A" w:rsidRPr="00466336">
        <w:rPr>
          <w:szCs w:val="24"/>
        </w:rPr>
        <w:t>published FMR Limit for a three-</w:t>
      </w:r>
      <w:r w:rsidRPr="00466336">
        <w:rPr>
          <w:szCs w:val="24"/>
        </w:rPr>
        <w:t xml:space="preserve">bedroom unit.  </w:t>
      </w:r>
    </w:p>
    <w:p w14:paraId="368C8DA2" w14:textId="0576FFD0" w:rsidR="00170367" w:rsidRPr="00466336" w:rsidRDefault="00170367" w:rsidP="00085EE7">
      <w:pPr>
        <w:pStyle w:val="BodyTextIndent"/>
        <w:numPr>
          <w:ilvl w:val="0"/>
          <w:numId w:val="12"/>
        </w:numPr>
        <w:spacing w:before="240"/>
        <w:ind w:left="1080"/>
        <w:rPr>
          <w:szCs w:val="24"/>
        </w:rPr>
      </w:pPr>
      <w:r w:rsidRPr="00466336">
        <w:rPr>
          <w:szCs w:val="24"/>
        </w:rPr>
        <w:t xml:space="preserve">The HUD-published </w:t>
      </w:r>
      <w:r w:rsidR="00765305">
        <w:rPr>
          <w:szCs w:val="24"/>
        </w:rPr>
        <w:t xml:space="preserve">FMR </w:t>
      </w:r>
      <w:r w:rsidRPr="00466336">
        <w:rPr>
          <w:szCs w:val="24"/>
        </w:rPr>
        <w:t xml:space="preserve">Limit is the maximum combined rent that can be charged to all income eligible tenants residing in the group home.  Each tenant pays a pro-rata share of the total rent.  </w:t>
      </w:r>
    </w:p>
    <w:p w14:paraId="64E7121A" w14:textId="0FAE6935" w:rsidR="00D2360A" w:rsidRPr="00466336" w:rsidRDefault="00D2360A" w:rsidP="00085EE7">
      <w:pPr>
        <w:pStyle w:val="BodyTextIndent"/>
        <w:numPr>
          <w:ilvl w:val="0"/>
          <w:numId w:val="12"/>
        </w:numPr>
        <w:spacing w:before="240"/>
        <w:ind w:left="1080"/>
        <w:rPr>
          <w:szCs w:val="24"/>
        </w:rPr>
      </w:pPr>
      <w:r w:rsidRPr="00466336">
        <w:rPr>
          <w:szCs w:val="24"/>
        </w:rPr>
        <w:t xml:space="preserve">When group home tenants pay directly for utilities, the utility allowance must be subtracted from the HUD-published FMR limit in order to determine the maximum combined rent that can be charged to all tenants.  </w:t>
      </w:r>
    </w:p>
    <w:p w14:paraId="3106D01A" w14:textId="5BCB1C1D" w:rsidR="00D2360A" w:rsidRPr="00466336" w:rsidRDefault="00D2360A" w:rsidP="00085EE7">
      <w:pPr>
        <w:pStyle w:val="BodyTextIndent"/>
        <w:numPr>
          <w:ilvl w:val="0"/>
          <w:numId w:val="12"/>
        </w:numPr>
        <w:spacing w:before="240"/>
        <w:ind w:left="1080"/>
        <w:rPr>
          <w:szCs w:val="24"/>
        </w:rPr>
      </w:pPr>
      <w:r w:rsidRPr="00466336">
        <w:rPr>
          <w:szCs w:val="24"/>
        </w:rPr>
        <w:t xml:space="preserve">Group homes frequently include food and/or other supportive services to its residents.  Group home rents may not include food costs or the costs of supportive services. Costs for such services must be billed as separate charges. For group home units that are developed for persons with disabilities, disability-related services must be non-mandatory and the resident must have the option to choose </w:t>
      </w:r>
      <w:r w:rsidR="00D86227">
        <w:rPr>
          <w:szCs w:val="24"/>
        </w:rPr>
        <w:t>the service provider.</w:t>
      </w:r>
      <w:r w:rsidRPr="00466336">
        <w:rPr>
          <w:szCs w:val="24"/>
        </w:rPr>
        <w:t xml:space="preserve">  The lease must also state whether the fee-based services are optional or mandatory and must identify </w:t>
      </w:r>
      <w:r w:rsidR="00805F77">
        <w:rPr>
          <w:szCs w:val="24"/>
        </w:rPr>
        <w:t>the amount of the additional fee</w:t>
      </w:r>
      <w:r w:rsidRPr="00466336">
        <w:rPr>
          <w:szCs w:val="24"/>
        </w:rPr>
        <w:t xml:space="preserve">s or surcharges separately from the basic </w:t>
      </w:r>
      <w:r w:rsidR="000F3546">
        <w:rPr>
          <w:szCs w:val="24"/>
        </w:rPr>
        <w:t>THTF</w:t>
      </w:r>
      <w:r w:rsidRPr="00466336">
        <w:rPr>
          <w:szCs w:val="24"/>
        </w:rPr>
        <w:t xml:space="preserve"> rent for each tenant.  The applicable State agency must approve in writing the costs of food and supportive services to be provided.  </w:t>
      </w:r>
    </w:p>
    <w:p w14:paraId="230029A2" w14:textId="339BA07D" w:rsidR="00406AB6" w:rsidRPr="00466336" w:rsidRDefault="00885938" w:rsidP="00D2360A">
      <w:pPr>
        <w:pStyle w:val="BodyTextIndent"/>
        <w:spacing w:before="240"/>
        <w:ind w:firstLine="0"/>
        <w:rPr>
          <w:szCs w:val="24"/>
        </w:rPr>
      </w:pPr>
      <w:r>
        <w:rPr>
          <w:szCs w:val="24"/>
        </w:rPr>
        <w:lastRenderedPageBreak/>
        <w:t>A</w:t>
      </w:r>
      <w:r w:rsidR="00D2360A" w:rsidRPr="00466336">
        <w:rPr>
          <w:szCs w:val="24"/>
        </w:rPr>
        <w:t xml:space="preserve"> C</w:t>
      </w:r>
      <w:r w:rsidR="00F04D1D">
        <w:rPr>
          <w:szCs w:val="24"/>
        </w:rPr>
        <w:t>HI-2</w:t>
      </w:r>
      <w:r w:rsidR="00D2360A" w:rsidRPr="00466336">
        <w:rPr>
          <w:szCs w:val="24"/>
        </w:rPr>
        <w:t xml:space="preserve"> Grant may assist with the development of Single Room Occupancy (SRO) housing,</w:t>
      </w:r>
      <w:r w:rsidR="00D2360A" w:rsidRPr="008261BC">
        <w:rPr>
          <w:szCs w:val="24"/>
        </w:rPr>
        <w:t xml:space="preserve"> which consists of a single room </w:t>
      </w:r>
      <w:r w:rsidR="00D2360A" w:rsidRPr="00466336">
        <w:rPr>
          <w:szCs w:val="24"/>
        </w:rPr>
        <w:t xml:space="preserve">dwelling unit that is the primary residence of </w:t>
      </w:r>
      <w:r w:rsidR="00765305">
        <w:rPr>
          <w:szCs w:val="24"/>
        </w:rPr>
        <w:t>a single</w:t>
      </w:r>
      <w:r w:rsidR="00D2360A" w:rsidRPr="00466336">
        <w:rPr>
          <w:szCs w:val="24"/>
        </w:rPr>
        <w:t xml:space="preserve"> occupant. The unit may or may not have food preparation and sanitary facilities. </w:t>
      </w:r>
      <w:r w:rsidR="00406AB6" w:rsidRPr="00466336">
        <w:rPr>
          <w:szCs w:val="24"/>
        </w:rPr>
        <w:t xml:space="preserve">Rents for </w:t>
      </w:r>
      <w:r w:rsidR="00D2360A" w:rsidRPr="00466336">
        <w:rPr>
          <w:szCs w:val="24"/>
        </w:rPr>
        <w:t>SRO</w:t>
      </w:r>
      <w:r w:rsidR="00D3737F" w:rsidRPr="00466336">
        <w:rPr>
          <w:szCs w:val="24"/>
        </w:rPr>
        <w:t xml:space="preserve"> units are </w:t>
      </w:r>
      <w:r w:rsidR="00406AB6" w:rsidRPr="00466336">
        <w:rPr>
          <w:szCs w:val="24"/>
        </w:rPr>
        <w:t xml:space="preserve">based on the HUD Fair Market Rent (FMR) or </w:t>
      </w:r>
      <w:r w:rsidR="00D2360A" w:rsidRPr="00466336">
        <w:rPr>
          <w:szCs w:val="24"/>
        </w:rPr>
        <w:t xml:space="preserve">the </w:t>
      </w:r>
      <w:r w:rsidR="00406AB6" w:rsidRPr="00466336">
        <w:rPr>
          <w:szCs w:val="24"/>
        </w:rPr>
        <w:t xml:space="preserve">HUD High HOME rent depending on the characterization of the unit as described below.  </w:t>
      </w:r>
    </w:p>
    <w:p w14:paraId="5849F91A" w14:textId="77777777" w:rsidR="00406AB6" w:rsidRPr="00466336" w:rsidRDefault="00406AB6" w:rsidP="008814A7">
      <w:pPr>
        <w:pStyle w:val="BodyTextIndent"/>
        <w:ind w:left="187" w:firstLine="0"/>
        <w:rPr>
          <w:szCs w:val="24"/>
        </w:rPr>
      </w:pPr>
    </w:p>
    <w:tbl>
      <w:tblPr>
        <w:tblStyle w:val="TableGrid"/>
        <w:tblW w:w="8905" w:type="dxa"/>
        <w:jc w:val="right"/>
        <w:tblLook w:val="04A0" w:firstRow="1" w:lastRow="0" w:firstColumn="1" w:lastColumn="0" w:noHBand="0" w:noVBand="1"/>
      </w:tblPr>
      <w:tblGrid>
        <w:gridCol w:w="3865"/>
        <w:gridCol w:w="5040"/>
      </w:tblGrid>
      <w:tr w:rsidR="00406AB6" w:rsidRPr="00466336" w14:paraId="36DFFDFE" w14:textId="77777777" w:rsidTr="00050D17">
        <w:trPr>
          <w:jc w:val="right"/>
        </w:trPr>
        <w:tc>
          <w:tcPr>
            <w:tcW w:w="3865" w:type="dxa"/>
            <w:shd w:val="clear" w:color="auto" w:fill="D6E3BC" w:themeFill="accent3" w:themeFillTint="66"/>
            <w:vAlign w:val="center"/>
          </w:tcPr>
          <w:p w14:paraId="28E63EB3" w14:textId="79B63B2B" w:rsidR="00406AB6" w:rsidRPr="00466336" w:rsidRDefault="00406AB6" w:rsidP="00050D17">
            <w:pPr>
              <w:pStyle w:val="BodyTextIndent"/>
              <w:spacing w:before="240"/>
              <w:ind w:left="-30" w:firstLine="0"/>
              <w:jc w:val="left"/>
              <w:rPr>
                <w:szCs w:val="24"/>
              </w:rPr>
            </w:pPr>
            <w:r w:rsidRPr="00466336">
              <w:rPr>
                <w:b/>
                <w:bCs/>
                <w:sz w:val="22"/>
                <w:szCs w:val="22"/>
              </w:rPr>
              <w:t xml:space="preserve">IF THE SRO HOUSING </w:t>
            </w:r>
            <w:r w:rsidR="00466336" w:rsidRPr="00466336">
              <w:rPr>
                <w:b/>
                <w:bCs/>
                <w:sz w:val="22"/>
                <w:szCs w:val="22"/>
              </w:rPr>
              <w:t>I</w:t>
            </w:r>
            <w:r w:rsidRPr="00466336">
              <w:rPr>
                <w:b/>
                <w:bCs/>
                <w:sz w:val="22"/>
                <w:szCs w:val="22"/>
              </w:rPr>
              <w:t>S….</w:t>
            </w:r>
          </w:p>
        </w:tc>
        <w:tc>
          <w:tcPr>
            <w:tcW w:w="5040" w:type="dxa"/>
            <w:shd w:val="clear" w:color="auto" w:fill="D6E3BC" w:themeFill="accent3" w:themeFillTint="66"/>
            <w:vAlign w:val="center"/>
          </w:tcPr>
          <w:p w14:paraId="24003438" w14:textId="77777777" w:rsidR="00406AB6" w:rsidRPr="00466336" w:rsidRDefault="00406AB6" w:rsidP="00050D17">
            <w:pPr>
              <w:pStyle w:val="BodyTextIndent"/>
              <w:spacing w:before="240"/>
              <w:ind w:left="0" w:firstLine="0"/>
              <w:jc w:val="left"/>
              <w:rPr>
                <w:szCs w:val="24"/>
              </w:rPr>
            </w:pPr>
            <w:r w:rsidRPr="00466336">
              <w:rPr>
                <w:b/>
                <w:bCs/>
                <w:sz w:val="22"/>
                <w:szCs w:val="22"/>
              </w:rPr>
              <w:t>THEN…</w:t>
            </w:r>
          </w:p>
        </w:tc>
      </w:tr>
      <w:tr w:rsidR="00406AB6" w:rsidRPr="00466336" w14:paraId="5EFAC8D8" w14:textId="77777777" w:rsidTr="00050D17">
        <w:trPr>
          <w:jc w:val="right"/>
        </w:trPr>
        <w:tc>
          <w:tcPr>
            <w:tcW w:w="3865" w:type="dxa"/>
            <w:vAlign w:val="center"/>
          </w:tcPr>
          <w:p w14:paraId="4A1FD536" w14:textId="1D1B6DAD" w:rsidR="00406AB6" w:rsidRPr="00466336" w:rsidRDefault="00406AB6" w:rsidP="00050D17">
            <w:pPr>
              <w:pStyle w:val="BodyTextIndent"/>
              <w:ind w:left="-30" w:firstLine="0"/>
              <w:jc w:val="left"/>
              <w:rPr>
                <w:sz w:val="22"/>
                <w:szCs w:val="22"/>
              </w:rPr>
            </w:pPr>
            <w:r w:rsidRPr="00466336">
              <w:rPr>
                <w:sz w:val="22"/>
                <w:szCs w:val="22"/>
              </w:rPr>
              <w:t xml:space="preserve">A unit with </w:t>
            </w:r>
            <w:r w:rsidRPr="00466336">
              <w:rPr>
                <w:i/>
                <w:iCs/>
                <w:sz w:val="22"/>
                <w:szCs w:val="22"/>
              </w:rPr>
              <w:t xml:space="preserve">neither </w:t>
            </w:r>
            <w:r w:rsidRPr="00466336">
              <w:rPr>
                <w:sz w:val="22"/>
                <w:szCs w:val="22"/>
              </w:rPr>
              <w:t>food preparation nor sanitary facilities, or with one (food preparation or sanitary facilities)</w:t>
            </w:r>
          </w:p>
        </w:tc>
        <w:tc>
          <w:tcPr>
            <w:tcW w:w="5040" w:type="dxa"/>
            <w:vAlign w:val="center"/>
          </w:tcPr>
          <w:p w14:paraId="2B044C95" w14:textId="7DB0A9B7" w:rsidR="00406AB6" w:rsidRPr="00466336" w:rsidRDefault="00406AB6" w:rsidP="00050D17">
            <w:pPr>
              <w:pStyle w:val="Default"/>
              <w:spacing w:before="120"/>
              <w:rPr>
                <w:strike/>
                <w:sz w:val="22"/>
                <w:szCs w:val="22"/>
              </w:rPr>
            </w:pPr>
            <w:r w:rsidRPr="00466336">
              <w:rPr>
                <w:sz w:val="22"/>
                <w:szCs w:val="22"/>
              </w:rPr>
              <w:t xml:space="preserve">The </w:t>
            </w:r>
            <w:r w:rsidR="00F04D1D">
              <w:rPr>
                <w:sz w:val="22"/>
                <w:szCs w:val="22"/>
              </w:rPr>
              <w:t>CHI-2</w:t>
            </w:r>
            <w:r w:rsidR="008261BC">
              <w:rPr>
                <w:sz w:val="22"/>
                <w:szCs w:val="22"/>
              </w:rPr>
              <w:t xml:space="preserve"> </w:t>
            </w:r>
            <w:r w:rsidRPr="00466336">
              <w:rPr>
                <w:sz w:val="22"/>
                <w:szCs w:val="22"/>
              </w:rPr>
              <w:t>rent may not exceed 75% of the HUD-published FMR limit for a 0-bedroom (efficiency) unit.</w:t>
            </w:r>
          </w:p>
        </w:tc>
      </w:tr>
      <w:tr w:rsidR="00406AB6" w:rsidRPr="00466336" w14:paraId="04CC3A68" w14:textId="77777777" w:rsidTr="00050D17">
        <w:trPr>
          <w:jc w:val="right"/>
        </w:trPr>
        <w:tc>
          <w:tcPr>
            <w:tcW w:w="3865" w:type="dxa"/>
            <w:vAlign w:val="center"/>
          </w:tcPr>
          <w:p w14:paraId="55F7E2B4" w14:textId="48270C9B" w:rsidR="00406AB6" w:rsidRPr="00466336" w:rsidRDefault="00406AB6" w:rsidP="00050D17">
            <w:pPr>
              <w:pStyle w:val="BodyTextIndent"/>
              <w:ind w:left="-30" w:firstLine="0"/>
              <w:jc w:val="left"/>
              <w:rPr>
                <w:sz w:val="22"/>
                <w:szCs w:val="22"/>
              </w:rPr>
            </w:pPr>
            <w:r w:rsidRPr="00466336">
              <w:rPr>
                <w:sz w:val="22"/>
                <w:szCs w:val="22"/>
              </w:rPr>
              <w:t xml:space="preserve">A unit with </w:t>
            </w:r>
            <w:r w:rsidRPr="00466336">
              <w:rPr>
                <w:i/>
                <w:iCs/>
                <w:sz w:val="22"/>
                <w:szCs w:val="22"/>
              </w:rPr>
              <w:t xml:space="preserve">both </w:t>
            </w:r>
            <w:r w:rsidRPr="00466336">
              <w:rPr>
                <w:sz w:val="22"/>
                <w:szCs w:val="22"/>
              </w:rPr>
              <w:t>food preparation and sanitary facilities</w:t>
            </w:r>
          </w:p>
        </w:tc>
        <w:tc>
          <w:tcPr>
            <w:tcW w:w="5040" w:type="dxa"/>
            <w:vAlign w:val="center"/>
          </w:tcPr>
          <w:p w14:paraId="21C1043C" w14:textId="7D6BD799" w:rsidR="00406AB6" w:rsidRPr="00466336" w:rsidRDefault="00406AB6" w:rsidP="00050D17">
            <w:pPr>
              <w:pStyle w:val="BodyTextIndent"/>
              <w:ind w:left="0" w:firstLine="0"/>
              <w:jc w:val="left"/>
              <w:rPr>
                <w:sz w:val="22"/>
                <w:szCs w:val="22"/>
              </w:rPr>
            </w:pPr>
            <w:r w:rsidRPr="00466336">
              <w:rPr>
                <w:sz w:val="22"/>
                <w:szCs w:val="22"/>
              </w:rPr>
              <w:t xml:space="preserve">The </w:t>
            </w:r>
            <w:r w:rsidR="00F04D1D">
              <w:rPr>
                <w:sz w:val="22"/>
                <w:szCs w:val="22"/>
              </w:rPr>
              <w:t>CHI-2</w:t>
            </w:r>
            <w:r w:rsidR="008261BC">
              <w:rPr>
                <w:sz w:val="22"/>
                <w:szCs w:val="22"/>
              </w:rPr>
              <w:t xml:space="preserve"> </w:t>
            </w:r>
            <w:r w:rsidR="00466336" w:rsidRPr="00466336">
              <w:rPr>
                <w:sz w:val="22"/>
                <w:szCs w:val="22"/>
              </w:rPr>
              <w:t>r</w:t>
            </w:r>
            <w:r w:rsidRPr="00466336">
              <w:rPr>
                <w:sz w:val="22"/>
                <w:szCs w:val="22"/>
              </w:rPr>
              <w:t>ent cannot exceed the HUD published High HOME rent limit for a 0-bedroom unit.</w:t>
            </w:r>
          </w:p>
        </w:tc>
      </w:tr>
      <w:tr w:rsidR="00406AB6" w14:paraId="0E0AFF27" w14:textId="77777777" w:rsidTr="00050D17">
        <w:trPr>
          <w:jc w:val="right"/>
        </w:trPr>
        <w:tc>
          <w:tcPr>
            <w:tcW w:w="3865" w:type="dxa"/>
            <w:vAlign w:val="center"/>
          </w:tcPr>
          <w:p w14:paraId="29E95BA2" w14:textId="4F7543D1" w:rsidR="00406AB6" w:rsidRPr="00466336" w:rsidRDefault="00406AB6" w:rsidP="00050D17">
            <w:pPr>
              <w:pStyle w:val="BodyTextIndent"/>
              <w:ind w:left="-30" w:firstLine="0"/>
              <w:jc w:val="left"/>
              <w:rPr>
                <w:sz w:val="22"/>
                <w:szCs w:val="22"/>
              </w:rPr>
            </w:pPr>
            <w:r w:rsidRPr="00466336">
              <w:rPr>
                <w:sz w:val="22"/>
                <w:szCs w:val="22"/>
              </w:rPr>
              <w:t xml:space="preserve">A unit that receives state or Federal </w:t>
            </w:r>
            <w:r w:rsidRPr="00466336">
              <w:rPr>
                <w:i/>
                <w:iCs/>
                <w:sz w:val="22"/>
                <w:szCs w:val="22"/>
              </w:rPr>
              <w:t xml:space="preserve">project-based </w:t>
            </w:r>
            <w:r w:rsidRPr="00466336">
              <w:rPr>
                <w:sz w:val="22"/>
                <w:szCs w:val="22"/>
              </w:rPr>
              <w:t>rental assistance and is occupied by a very low income tenant</w:t>
            </w:r>
          </w:p>
        </w:tc>
        <w:tc>
          <w:tcPr>
            <w:tcW w:w="5040" w:type="dxa"/>
            <w:vAlign w:val="center"/>
          </w:tcPr>
          <w:p w14:paraId="786D2400" w14:textId="05B64B73" w:rsidR="00406AB6" w:rsidRPr="000C5B84" w:rsidRDefault="00406AB6" w:rsidP="00684E39">
            <w:pPr>
              <w:pStyle w:val="BodyTextIndent"/>
              <w:ind w:left="0" w:firstLine="0"/>
              <w:jc w:val="left"/>
              <w:rPr>
                <w:sz w:val="22"/>
                <w:szCs w:val="22"/>
              </w:rPr>
            </w:pPr>
            <w:r w:rsidRPr="00466336">
              <w:rPr>
                <w:sz w:val="22"/>
                <w:szCs w:val="22"/>
              </w:rPr>
              <w:t xml:space="preserve">The </w:t>
            </w:r>
            <w:r w:rsidR="00F04D1D">
              <w:rPr>
                <w:sz w:val="22"/>
                <w:szCs w:val="22"/>
              </w:rPr>
              <w:t>CHI-2</w:t>
            </w:r>
            <w:r w:rsidR="008261BC">
              <w:rPr>
                <w:sz w:val="22"/>
                <w:szCs w:val="22"/>
              </w:rPr>
              <w:t xml:space="preserve"> </w:t>
            </w:r>
            <w:r w:rsidRPr="00466336">
              <w:rPr>
                <w:sz w:val="22"/>
                <w:szCs w:val="22"/>
              </w:rPr>
              <w:t xml:space="preserve">rent can be the applicable </w:t>
            </w:r>
            <w:r w:rsidR="00765305">
              <w:rPr>
                <w:sz w:val="22"/>
                <w:szCs w:val="22"/>
              </w:rPr>
              <w:t>State</w:t>
            </w:r>
            <w:r w:rsidRPr="00466336">
              <w:rPr>
                <w:sz w:val="22"/>
                <w:szCs w:val="22"/>
              </w:rPr>
              <w:t xml:space="preserve"> or Federal project-based rent, as long as </w:t>
            </w:r>
            <w:r w:rsidR="00684E39">
              <w:rPr>
                <w:sz w:val="22"/>
                <w:szCs w:val="22"/>
              </w:rPr>
              <w:t>the unit</w:t>
            </w:r>
            <w:r w:rsidRPr="00466336">
              <w:rPr>
                <w:sz w:val="22"/>
                <w:szCs w:val="22"/>
              </w:rPr>
              <w:t xml:space="preserve"> is occupied by a very low income tenant who does not pay more than 30% of the family’s monthly adjusted income for rent.</w:t>
            </w:r>
          </w:p>
        </w:tc>
      </w:tr>
    </w:tbl>
    <w:p w14:paraId="0B171DC1" w14:textId="6925B951" w:rsidR="008261BC" w:rsidRPr="000456F9" w:rsidRDefault="008261BC" w:rsidP="00154518">
      <w:pPr>
        <w:pStyle w:val="BodyTextIndent"/>
        <w:spacing w:before="240"/>
        <w:ind w:firstLine="0"/>
        <w:rPr>
          <w:szCs w:val="24"/>
        </w:rPr>
      </w:pPr>
      <w:r>
        <w:rPr>
          <w:szCs w:val="24"/>
        </w:rPr>
        <w:t xml:space="preserve">The calculation of the applicable rent and tenant contributions must </w:t>
      </w:r>
      <w:r w:rsidR="000440FF">
        <w:rPr>
          <w:szCs w:val="24"/>
        </w:rPr>
        <w:t>adhere to</w:t>
      </w:r>
      <w:r>
        <w:rPr>
          <w:szCs w:val="24"/>
        </w:rPr>
        <w:t xml:space="preserve"> the following requirements:</w:t>
      </w:r>
    </w:p>
    <w:p w14:paraId="5DD764D7" w14:textId="77777777" w:rsidR="008261BC" w:rsidRDefault="008261BC" w:rsidP="008261BC">
      <w:pPr>
        <w:pStyle w:val="BodyTextIndent"/>
        <w:spacing w:before="0"/>
        <w:ind w:firstLine="0"/>
        <w:rPr>
          <w:szCs w:val="24"/>
        </w:rPr>
      </w:pPr>
    </w:p>
    <w:p w14:paraId="10DD29CB" w14:textId="2E449E20" w:rsidR="008261BC" w:rsidRDefault="008261BC" w:rsidP="00085EE7">
      <w:pPr>
        <w:pStyle w:val="BodyTextIndent"/>
        <w:numPr>
          <w:ilvl w:val="0"/>
          <w:numId w:val="13"/>
        </w:numPr>
        <w:spacing w:before="0"/>
        <w:ind w:left="1080"/>
        <w:rPr>
          <w:szCs w:val="24"/>
        </w:rPr>
      </w:pPr>
      <w:r>
        <w:rPr>
          <w:szCs w:val="24"/>
        </w:rPr>
        <w:t xml:space="preserve">Utility costs are included in the maximum </w:t>
      </w:r>
      <w:r w:rsidR="000440FF">
        <w:rPr>
          <w:szCs w:val="24"/>
        </w:rPr>
        <w:t xml:space="preserve">published </w:t>
      </w:r>
      <w:r>
        <w:rPr>
          <w:szCs w:val="24"/>
        </w:rPr>
        <w:t xml:space="preserve">HOME or FMR SRO rent. If SRO tenants pay directly for utilities, the utility allowance must be subtracted from the HUD-published HOME rent limit or FMR limit in order to determine the maximum rent that can be charged for the SRO unit. </w:t>
      </w:r>
    </w:p>
    <w:p w14:paraId="7911E3B3" w14:textId="77777777" w:rsidR="008261BC" w:rsidRDefault="008261BC" w:rsidP="005B777B">
      <w:pPr>
        <w:pStyle w:val="BodyTextIndent"/>
        <w:spacing w:before="0"/>
        <w:ind w:left="1080" w:firstLine="0"/>
        <w:rPr>
          <w:szCs w:val="24"/>
        </w:rPr>
      </w:pPr>
    </w:p>
    <w:p w14:paraId="015C5860" w14:textId="68DE83A6" w:rsidR="008261BC" w:rsidRPr="008261BC" w:rsidRDefault="008261BC" w:rsidP="00085EE7">
      <w:pPr>
        <w:pStyle w:val="BodyTextIndent"/>
        <w:numPr>
          <w:ilvl w:val="0"/>
          <w:numId w:val="13"/>
        </w:numPr>
        <w:spacing w:before="0"/>
        <w:ind w:left="1080"/>
        <w:rPr>
          <w:szCs w:val="24"/>
        </w:rPr>
      </w:pPr>
      <w:r>
        <w:rPr>
          <w:szCs w:val="24"/>
        </w:rPr>
        <w:t xml:space="preserve">SRO units may not include food costs or the costs of any supportive services. Costs for such services must be billed as separate charges. For SRO units that are developed for persons with disabilities, disability-related services must be non-mandatory and </w:t>
      </w:r>
      <w:r w:rsidRPr="00466336">
        <w:rPr>
          <w:szCs w:val="24"/>
        </w:rPr>
        <w:t xml:space="preserve">the resident must have the option to choose </w:t>
      </w:r>
      <w:r w:rsidR="000440FF">
        <w:rPr>
          <w:szCs w:val="24"/>
        </w:rPr>
        <w:t>the service provider</w:t>
      </w:r>
      <w:r>
        <w:rPr>
          <w:szCs w:val="24"/>
        </w:rPr>
        <w:t xml:space="preserve">.  </w:t>
      </w:r>
    </w:p>
    <w:p w14:paraId="6C099296" w14:textId="32FB77D3" w:rsidR="00BC7315" w:rsidRPr="00EC5E10" w:rsidRDefault="008261BC" w:rsidP="00085EE7">
      <w:pPr>
        <w:pStyle w:val="BodyTextIndent"/>
        <w:numPr>
          <w:ilvl w:val="0"/>
          <w:numId w:val="12"/>
        </w:numPr>
        <w:spacing w:before="240"/>
        <w:ind w:left="1080"/>
        <w:rPr>
          <w:szCs w:val="24"/>
        </w:rPr>
      </w:pPr>
      <w:r>
        <w:rPr>
          <w:szCs w:val="24"/>
        </w:rPr>
        <w:t xml:space="preserve">Each SRO tenant’s lease must clearly state whether the fee-based services are optional or required and must also identify the amount of additional fees or surcharges separately from the basic </w:t>
      </w:r>
      <w:r w:rsidR="00F04D1D">
        <w:rPr>
          <w:szCs w:val="24"/>
        </w:rPr>
        <w:t>CHI-2</w:t>
      </w:r>
      <w:r>
        <w:rPr>
          <w:szCs w:val="24"/>
        </w:rPr>
        <w:t xml:space="preserve"> rent for each tenant. </w:t>
      </w:r>
      <w:r w:rsidRPr="00466336">
        <w:rPr>
          <w:szCs w:val="24"/>
        </w:rPr>
        <w:t xml:space="preserve">The applicable State agency must approve in writing the costs of food and supportive services to be provided.  </w:t>
      </w:r>
    </w:p>
    <w:p w14:paraId="464975DC" w14:textId="5FC3FCFA" w:rsidR="00BC7315" w:rsidRPr="000456F9" w:rsidRDefault="003A4C89" w:rsidP="00D50C35">
      <w:pPr>
        <w:tabs>
          <w:tab w:val="left" w:pos="360"/>
        </w:tabs>
        <w:spacing w:before="280"/>
        <w:jc w:val="both"/>
        <w:rPr>
          <w:b/>
          <w:sz w:val="24"/>
          <w:szCs w:val="24"/>
        </w:rPr>
      </w:pPr>
      <w:r w:rsidRPr="000456F9">
        <w:rPr>
          <w:b/>
          <w:sz w:val="24"/>
          <w:szCs w:val="24"/>
        </w:rPr>
        <w:t>G</w:t>
      </w:r>
      <w:r w:rsidR="00BC7315" w:rsidRPr="000456F9">
        <w:rPr>
          <w:b/>
          <w:sz w:val="24"/>
          <w:szCs w:val="24"/>
        </w:rPr>
        <w:t>.</w:t>
      </w:r>
      <w:r w:rsidR="00BC7315" w:rsidRPr="000456F9">
        <w:rPr>
          <w:b/>
          <w:sz w:val="24"/>
          <w:szCs w:val="24"/>
        </w:rPr>
        <w:tab/>
        <w:t>PROCUREMENT</w:t>
      </w:r>
      <w:r w:rsidR="00EC5E10">
        <w:rPr>
          <w:b/>
          <w:sz w:val="24"/>
          <w:szCs w:val="24"/>
        </w:rPr>
        <w:t xml:space="preserve"> REQUIREMENTS</w:t>
      </w:r>
    </w:p>
    <w:p w14:paraId="7342DD12" w14:textId="7FE25585" w:rsidR="005F36D9" w:rsidRDefault="00BC7315" w:rsidP="00BC7315">
      <w:pPr>
        <w:spacing w:before="240"/>
        <w:jc w:val="both"/>
        <w:rPr>
          <w:sz w:val="24"/>
          <w:szCs w:val="24"/>
        </w:rPr>
      </w:pPr>
      <w:r w:rsidRPr="000456F9">
        <w:rPr>
          <w:sz w:val="24"/>
          <w:szCs w:val="24"/>
        </w:rPr>
        <w:t xml:space="preserve">It is important to keep the solicitation of bids for goods and services, materials, supplies and/or equipment open and competitive. </w:t>
      </w:r>
      <w:r w:rsidR="00AB1C02">
        <w:rPr>
          <w:sz w:val="24"/>
          <w:szCs w:val="24"/>
        </w:rPr>
        <w:t>Grantees shall develop and</w:t>
      </w:r>
      <w:r w:rsidR="00EC5E10">
        <w:rPr>
          <w:sz w:val="24"/>
          <w:szCs w:val="24"/>
        </w:rPr>
        <w:t xml:space="preserve"> follow the established </w:t>
      </w:r>
      <w:r w:rsidRPr="000456F9">
        <w:rPr>
          <w:sz w:val="24"/>
          <w:szCs w:val="24"/>
        </w:rPr>
        <w:t>procurement policies</w:t>
      </w:r>
      <w:r w:rsidR="00EC5E10">
        <w:rPr>
          <w:sz w:val="24"/>
          <w:szCs w:val="24"/>
        </w:rPr>
        <w:t xml:space="preserve"> of the Grantee</w:t>
      </w:r>
      <w:r w:rsidRPr="000456F9">
        <w:rPr>
          <w:sz w:val="24"/>
          <w:szCs w:val="24"/>
        </w:rPr>
        <w:t xml:space="preserve">.  At a minimum, </w:t>
      </w:r>
      <w:r w:rsidR="006D5489">
        <w:rPr>
          <w:sz w:val="24"/>
          <w:szCs w:val="24"/>
        </w:rPr>
        <w:t>the Grantee must have or establish a</w:t>
      </w:r>
      <w:r w:rsidRPr="000456F9">
        <w:rPr>
          <w:sz w:val="24"/>
          <w:szCs w:val="24"/>
        </w:rPr>
        <w:t xml:space="preserve"> selection procedure</w:t>
      </w:r>
      <w:r w:rsidR="00EC5E10">
        <w:rPr>
          <w:sz w:val="24"/>
          <w:szCs w:val="24"/>
        </w:rPr>
        <w:t xml:space="preserve"> that requires the Grantee to</w:t>
      </w:r>
      <w:r w:rsidR="009A1531" w:rsidRPr="000456F9">
        <w:rPr>
          <w:sz w:val="24"/>
          <w:szCs w:val="24"/>
        </w:rPr>
        <w:t xml:space="preserve"> obtain </w:t>
      </w:r>
      <w:r w:rsidR="001218F7" w:rsidRPr="000456F9">
        <w:rPr>
          <w:sz w:val="24"/>
          <w:szCs w:val="24"/>
        </w:rPr>
        <w:t xml:space="preserve">at least three </w:t>
      </w:r>
      <w:r w:rsidR="00F04D1D">
        <w:rPr>
          <w:sz w:val="24"/>
          <w:szCs w:val="24"/>
        </w:rPr>
        <w:t xml:space="preserve">(3) </w:t>
      </w:r>
      <w:r w:rsidR="001218F7" w:rsidRPr="000456F9">
        <w:rPr>
          <w:sz w:val="24"/>
          <w:szCs w:val="24"/>
        </w:rPr>
        <w:t>bids</w:t>
      </w:r>
      <w:r w:rsidR="00362112">
        <w:rPr>
          <w:sz w:val="24"/>
          <w:szCs w:val="24"/>
        </w:rPr>
        <w:t xml:space="preserve"> and </w:t>
      </w:r>
      <w:r w:rsidR="006D5489">
        <w:rPr>
          <w:sz w:val="24"/>
          <w:szCs w:val="24"/>
        </w:rPr>
        <w:t>to</w:t>
      </w:r>
      <w:r w:rsidR="00362112">
        <w:rPr>
          <w:sz w:val="24"/>
          <w:szCs w:val="24"/>
        </w:rPr>
        <w:t xml:space="preserve"> purchase </w:t>
      </w:r>
      <w:r w:rsidR="00EC5E10">
        <w:rPr>
          <w:sz w:val="24"/>
          <w:szCs w:val="24"/>
        </w:rPr>
        <w:t>the goods or services</w:t>
      </w:r>
      <w:r w:rsidR="00362112">
        <w:rPr>
          <w:sz w:val="24"/>
          <w:szCs w:val="24"/>
        </w:rPr>
        <w:t xml:space="preserve"> from the lowest</w:t>
      </w:r>
      <w:r w:rsidR="0071751F">
        <w:rPr>
          <w:sz w:val="24"/>
          <w:szCs w:val="24"/>
        </w:rPr>
        <w:t xml:space="preserve"> </w:t>
      </w:r>
      <w:r w:rsidR="00A70F3F">
        <w:rPr>
          <w:sz w:val="24"/>
          <w:szCs w:val="24"/>
        </w:rPr>
        <w:t>or</w:t>
      </w:r>
      <w:r w:rsidR="00A70F3F" w:rsidRPr="00A70F3F">
        <w:rPr>
          <w:sz w:val="24"/>
          <w:szCs w:val="24"/>
        </w:rPr>
        <w:t xml:space="preserve"> </w:t>
      </w:r>
      <w:r w:rsidR="0071751F" w:rsidRPr="00A70F3F">
        <w:rPr>
          <w:sz w:val="24"/>
          <w:szCs w:val="24"/>
        </w:rPr>
        <w:t>best</w:t>
      </w:r>
      <w:r w:rsidR="00362112">
        <w:rPr>
          <w:sz w:val="24"/>
          <w:szCs w:val="24"/>
        </w:rPr>
        <w:t xml:space="preserve"> bidder</w:t>
      </w:r>
      <w:r w:rsidR="00273B03">
        <w:rPr>
          <w:sz w:val="24"/>
          <w:szCs w:val="24"/>
        </w:rPr>
        <w:t xml:space="preserve">. </w:t>
      </w:r>
      <w:r w:rsidR="006D5489">
        <w:rPr>
          <w:sz w:val="24"/>
          <w:szCs w:val="24"/>
        </w:rPr>
        <w:t xml:space="preserve">The Grantee must have a </w:t>
      </w:r>
      <w:r w:rsidRPr="000456F9">
        <w:rPr>
          <w:sz w:val="24"/>
          <w:szCs w:val="24"/>
        </w:rPr>
        <w:t>written rationale for selecting the successful bid or proposal.</w:t>
      </w:r>
    </w:p>
    <w:p w14:paraId="28F7D73D" w14:textId="77777777" w:rsidR="0068753C" w:rsidRPr="000456F9" w:rsidRDefault="0068753C" w:rsidP="00BC7315">
      <w:pPr>
        <w:spacing w:before="240"/>
        <w:jc w:val="both"/>
        <w:rPr>
          <w:sz w:val="24"/>
          <w:szCs w:val="24"/>
        </w:rPr>
      </w:pPr>
    </w:p>
    <w:p w14:paraId="7CE02026" w14:textId="77777777" w:rsidR="00BC7315" w:rsidRPr="000456F9" w:rsidRDefault="003A4C89" w:rsidP="00D50C35">
      <w:pPr>
        <w:tabs>
          <w:tab w:val="left" w:pos="360"/>
        </w:tabs>
        <w:spacing w:before="280"/>
        <w:jc w:val="both"/>
        <w:rPr>
          <w:b/>
          <w:sz w:val="24"/>
          <w:szCs w:val="24"/>
        </w:rPr>
      </w:pPr>
      <w:r w:rsidRPr="000456F9">
        <w:rPr>
          <w:b/>
          <w:sz w:val="24"/>
          <w:szCs w:val="24"/>
        </w:rPr>
        <w:t>H</w:t>
      </w:r>
      <w:r w:rsidR="00BC7315" w:rsidRPr="000456F9">
        <w:rPr>
          <w:b/>
          <w:sz w:val="24"/>
          <w:szCs w:val="24"/>
        </w:rPr>
        <w:t>.</w:t>
      </w:r>
      <w:r w:rsidR="00BC7315" w:rsidRPr="000456F9">
        <w:rPr>
          <w:b/>
          <w:sz w:val="24"/>
          <w:szCs w:val="24"/>
        </w:rPr>
        <w:tab/>
        <w:t>MARKETING REQUIREMENTS</w:t>
      </w:r>
    </w:p>
    <w:p w14:paraId="1013FEC1" w14:textId="2E16B680" w:rsidR="00EC5583" w:rsidRPr="00EC5583" w:rsidRDefault="00BC7315" w:rsidP="00B2710F">
      <w:pPr>
        <w:tabs>
          <w:tab w:val="left" w:pos="0"/>
        </w:tabs>
        <w:spacing w:before="240"/>
        <w:jc w:val="both"/>
        <w:rPr>
          <w:sz w:val="24"/>
          <w:szCs w:val="24"/>
        </w:rPr>
      </w:pPr>
      <w:r w:rsidRPr="000456F9">
        <w:rPr>
          <w:sz w:val="24"/>
          <w:szCs w:val="24"/>
        </w:rPr>
        <w:t>One goal of</w:t>
      </w:r>
      <w:r w:rsidR="00C25F3E" w:rsidRPr="000456F9">
        <w:rPr>
          <w:sz w:val="24"/>
          <w:szCs w:val="24"/>
        </w:rPr>
        <w:t xml:space="preserve"> </w:t>
      </w:r>
      <w:r w:rsidR="00F04D1D">
        <w:rPr>
          <w:sz w:val="24"/>
          <w:szCs w:val="24"/>
        </w:rPr>
        <w:t>CHI-2</w:t>
      </w:r>
      <w:r w:rsidRPr="000456F9">
        <w:rPr>
          <w:sz w:val="24"/>
          <w:szCs w:val="24"/>
        </w:rPr>
        <w:t xml:space="preserve"> is to raise the profile of affordable housing at the local, state and federal level, and to demonstrate that decent housing impacts all facets of </w:t>
      </w:r>
      <w:r w:rsidR="00F04D1D">
        <w:rPr>
          <w:sz w:val="24"/>
          <w:szCs w:val="24"/>
        </w:rPr>
        <w:t xml:space="preserve">a </w:t>
      </w:r>
      <w:r w:rsidRPr="000456F9">
        <w:rPr>
          <w:sz w:val="24"/>
          <w:szCs w:val="24"/>
        </w:rPr>
        <w:t xml:space="preserve">community. Each Grantee </w:t>
      </w:r>
      <w:r w:rsidR="00AB1C02">
        <w:rPr>
          <w:sz w:val="24"/>
          <w:szCs w:val="24"/>
        </w:rPr>
        <w:t>shall</w:t>
      </w:r>
      <w:r w:rsidRPr="000456F9">
        <w:rPr>
          <w:sz w:val="24"/>
          <w:szCs w:val="24"/>
        </w:rPr>
        <w:t xml:space="preserve"> </w:t>
      </w:r>
      <w:r w:rsidR="00D00B9A" w:rsidRPr="000456F9">
        <w:rPr>
          <w:sz w:val="24"/>
          <w:szCs w:val="24"/>
        </w:rPr>
        <w:t xml:space="preserve">implement </w:t>
      </w:r>
      <w:r w:rsidRPr="000456F9">
        <w:rPr>
          <w:sz w:val="24"/>
          <w:szCs w:val="24"/>
        </w:rPr>
        <w:t>marketing and public</w:t>
      </w:r>
      <w:r w:rsidR="00F04D1D">
        <w:rPr>
          <w:sz w:val="24"/>
          <w:szCs w:val="24"/>
        </w:rPr>
        <w:t xml:space="preserve"> relations plans to accentuate program achievements</w:t>
      </w:r>
      <w:r w:rsidRPr="000456F9">
        <w:rPr>
          <w:sz w:val="24"/>
          <w:szCs w:val="24"/>
        </w:rPr>
        <w:t xml:space="preserve">. </w:t>
      </w:r>
      <w:r w:rsidR="00D00B9A" w:rsidRPr="000456F9">
        <w:rPr>
          <w:sz w:val="24"/>
          <w:szCs w:val="24"/>
        </w:rPr>
        <w:t xml:space="preserve">THDA’s </w:t>
      </w:r>
      <w:r w:rsidR="001A264A">
        <w:rPr>
          <w:sz w:val="24"/>
          <w:szCs w:val="24"/>
        </w:rPr>
        <w:t>Communications</w:t>
      </w:r>
      <w:r w:rsidRPr="000456F9">
        <w:rPr>
          <w:sz w:val="24"/>
          <w:szCs w:val="24"/>
        </w:rPr>
        <w:t xml:space="preserve"> Division will assist </w:t>
      </w:r>
      <w:r w:rsidR="006D5489">
        <w:rPr>
          <w:sz w:val="24"/>
          <w:szCs w:val="24"/>
        </w:rPr>
        <w:t xml:space="preserve">the Grantee to develop </w:t>
      </w:r>
      <w:r w:rsidRPr="000456F9">
        <w:rPr>
          <w:sz w:val="24"/>
          <w:szCs w:val="24"/>
        </w:rPr>
        <w:t>these plans</w:t>
      </w:r>
      <w:r w:rsidR="006D5489">
        <w:rPr>
          <w:sz w:val="24"/>
          <w:szCs w:val="24"/>
        </w:rPr>
        <w:t xml:space="preserve"> if requested</w:t>
      </w:r>
      <w:r w:rsidRPr="000456F9">
        <w:rPr>
          <w:sz w:val="24"/>
          <w:szCs w:val="24"/>
        </w:rPr>
        <w:t xml:space="preserve">. </w:t>
      </w:r>
      <w:r w:rsidR="006D5489">
        <w:rPr>
          <w:sz w:val="24"/>
          <w:szCs w:val="24"/>
        </w:rPr>
        <w:t xml:space="preserve">The Grantee </w:t>
      </w:r>
      <w:r w:rsidR="00885938">
        <w:rPr>
          <w:sz w:val="24"/>
          <w:szCs w:val="24"/>
        </w:rPr>
        <w:t>shall</w:t>
      </w:r>
      <w:r w:rsidRPr="000456F9">
        <w:rPr>
          <w:sz w:val="24"/>
          <w:szCs w:val="24"/>
        </w:rPr>
        <w:t xml:space="preserve"> submit data and beneficiary stories to THDA</w:t>
      </w:r>
      <w:r w:rsidR="00885938">
        <w:rPr>
          <w:sz w:val="24"/>
          <w:szCs w:val="24"/>
        </w:rPr>
        <w:t xml:space="preserve"> as may be required by THDA</w:t>
      </w:r>
      <w:r w:rsidRPr="000456F9">
        <w:rPr>
          <w:sz w:val="24"/>
          <w:szCs w:val="24"/>
        </w:rPr>
        <w:t>.</w:t>
      </w:r>
    </w:p>
    <w:p w14:paraId="18E2FF3D" w14:textId="73E88119" w:rsidR="00BC7315" w:rsidRPr="000456F9" w:rsidRDefault="003A4C89" w:rsidP="00D50C35">
      <w:pPr>
        <w:tabs>
          <w:tab w:val="left" w:pos="360"/>
        </w:tabs>
        <w:spacing w:before="280"/>
        <w:jc w:val="both"/>
        <w:rPr>
          <w:b/>
          <w:sz w:val="24"/>
          <w:szCs w:val="24"/>
        </w:rPr>
      </w:pPr>
      <w:r w:rsidRPr="000456F9">
        <w:rPr>
          <w:b/>
          <w:sz w:val="24"/>
          <w:szCs w:val="24"/>
        </w:rPr>
        <w:t>I</w:t>
      </w:r>
      <w:r w:rsidR="00BC7315" w:rsidRPr="000456F9">
        <w:rPr>
          <w:b/>
          <w:sz w:val="24"/>
          <w:szCs w:val="24"/>
        </w:rPr>
        <w:t>.</w:t>
      </w:r>
      <w:r w:rsidR="00BC7315" w:rsidRPr="000456F9">
        <w:rPr>
          <w:b/>
          <w:sz w:val="24"/>
          <w:szCs w:val="24"/>
        </w:rPr>
        <w:tab/>
        <w:t>FAIR HOUSING AND EQUAL OPPORTUNITY</w:t>
      </w:r>
      <w:r w:rsidR="006D5489">
        <w:rPr>
          <w:b/>
          <w:sz w:val="24"/>
          <w:szCs w:val="24"/>
        </w:rPr>
        <w:t xml:space="preserve"> REQUIREMENTS</w:t>
      </w:r>
    </w:p>
    <w:p w14:paraId="57667D8F" w14:textId="351F4824" w:rsidR="00BC7315" w:rsidRPr="000456F9" w:rsidRDefault="00BC7315" w:rsidP="00BC7315">
      <w:pPr>
        <w:spacing w:before="240"/>
        <w:jc w:val="both"/>
        <w:rPr>
          <w:sz w:val="24"/>
          <w:szCs w:val="24"/>
        </w:rPr>
      </w:pPr>
      <w:r w:rsidRPr="000456F9">
        <w:rPr>
          <w:sz w:val="24"/>
          <w:szCs w:val="24"/>
        </w:rPr>
        <w:t xml:space="preserve">Each Grantee </w:t>
      </w:r>
      <w:r w:rsidR="00AB1C02">
        <w:rPr>
          <w:sz w:val="24"/>
          <w:szCs w:val="24"/>
        </w:rPr>
        <w:t>shall</w:t>
      </w:r>
      <w:r w:rsidRPr="000456F9">
        <w:rPr>
          <w:sz w:val="24"/>
          <w:szCs w:val="24"/>
        </w:rPr>
        <w:t xml:space="preserve"> comply with both state and federal laws</w:t>
      </w:r>
      <w:r w:rsidR="00AB1C02">
        <w:rPr>
          <w:sz w:val="24"/>
          <w:szCs w:val="24"/>
        </w:rPr>
        <w:t xml:space="preserve"> </w:t>
      </w:r>
      <w:r w:rsidRPr="000456F9">
        <w:rPr>
          <w:sz w:val="24"/>
          <w:szCs w:val="24"/>
        </w:rPr>
        <w:t>regard</w:t>
      </w:r>
      <w:r w:rsidR="00E26D37">
        <w:rPr>
          <w:sz w:val="24"/>
          <w:szCs w:val="24"/>
        </w:rPr>
        <w:t>ing</w:t>
      </w:r>
      <w:r w:rsidRPr="000456F9">
        <w:rPr>
          <w:sz w:val="24"/>
          <w:szCs w:val="24"/>
        </w:rPr>
        <w:t xml:space="preserve"> fair housin</w:t>
      </w:r>
      <w:r w:rsidR="00273B03">
        <w:rPr>
          <w:sz w:val="24"/>
          <w:szCs w:val="24"/>
        </w:rPr>
        <w:t>g and equal opportunity (FHEO).</w:t>
      </w:r>
      <w:r w:rsidRPr="000456F9">
        <w:rPr>
          <w:sz w:val="24"/>
          <w:szCs w:val="24"/>
        </w:rPr>
        <w:t xml:space="preserve"> FHEO requirements have been developed to protect individuals and groups against discrimination on the basis of: race, color, national origin, religion, age, disability, familial status</w:t>
      </w:r>
      <w:r w:rsidR="00412DF0" w:rsidRPr="000456F9">
        <w:rPr>
          <w:sz w:val="24"/>
          <w:szCs w:val="24"/>
        </w:rPr>
        <w:t>,</w:t>
      </w:r>
      <w:r w:rsidRPr="000456F9">
        <w:rPr>
          <w:sz w:val="24"/>
          <w:szCs w:val="24"/>
        </w:rPr>
        <w:t xml:space="preserve"> or sex.</w:t>
      </w:r>
    </w:p>
    <w:p w14:paraId="11EBABD9" w14:textId="05B9D626" w:rsidR="00BC7315" w:rsidRPr="000456F9" w:rsidRDefault="00BC7315" w:rsidP="00BC7315">
      <w:pPr>
        <w:spacing w:before="240"/>
        <w:jc w:val="both"/>
        <w:rPr>
          <w:sz w:val="24"/>
          <w:szCs w:val="24"/>
        </w:rPr>
      </w:pPr>
      <w:r w:rsidRPr="000456F9">
        <w:rPr>
          <w:sz w:val="24"/>
          <w:szCs w:val="24"/>
        </w:rPr>
        <w:t xml:space="preserve">In particular, </w:t>
      </w:r>
      <w:r w:rsidR="000D1FB5" w:rsidRPr="000456F9">
        <w:rPr>
          <w:sz w:val="24"/>
          <w:szCs w:val="24"/>
        </w:rPr>
        <w:t xml:space="preserve">owners and </w:t>
      </w:r>
      <w:r w:rsidR="00F04D1D">
        <w:rPr>
          <w:sz w:val="24"/>
          <w:szCs w:val="24"/>
        </w:rPr>
        <w:t>property managers</w:t>
      </w:r>
      <w:r w:rsidRPr="000456F9">
        <w:rPr>
          <w:sz w:val="24"/>
          <w:szCs w:val="24"/>
        </w:rPr>
        <w:t xml:space="preserve"> will need to be aware of discrimination issues with regard to: housing opportunities</w:t>
      </w:r>
      <w:r w:rsidR="006D5489">
        <w:rPr>
          <w:sz w:val="24"/>
          <w:szCs w:val="24"/>
        </w:rPr>
        <w:t>,</w:t>
      </w:r>
      <w:r w:rsidRPr="000456F9">
        <w:rPr>
          <w:sz w:val="24"/>
          <w:szCs w:val="24"/>
        </w:rPr>
        <w:t xml:space="preserve"> employment opportunities</w:t>
      </w:r>
      <w:r w:rsidR="006D5489">
        <w:rPr>
          <w:sz w:val="24"/>
          <w:szCs w:val="24"/>
        </w:rPr>
        <w:t>,</w:t>
      </w:r>
      <w:r w:rsidRPr="000456F9">
        <w:rPr>
          <w:sz w:val="24"/>
          <w:szCs w:val="24"/>
        </w:rPr>
        <w:t xml:space="preserve"> business opportunities</w:t>
      </w:r>
      <w:r w:rsidR="006D5489">
        <w:rPr>
          <w:sz w:val="24"/>
          <w:szCs w:val="24"/>
        </w:rPr>
        <w:t>,</w:t>
      </w:r>
      <w:r w:rsidRPr="000456F9">
        <w:rPr>
          <w:sz w:val="24"/>
          <w:szCs w:val="24"/>
        </w:rPr>
        <w:t xml:space="preserve"> and benefits resulting from activities funded in full or in part by </w:t>
      </w:r>
      <w:r w:rsidR="006D5489">
        <w:rPr>
          <w:sz w:val="24"/>
          <w:szCs w:val="24"/>
        </w:rPr>
        <w:t>the</w:t>
      </w:r>
      <w:r w:rsidR="00E26D37">
        <w:rPr>
          <w:sz w:val="24"/>
          <w:szCs w:val="24"/>
        </w:rPr>
        <w:t xml:space="preserve"> </w:t>
      </w:r>
      <w:r w:rsidR="008D3D66">
        <w:rPr>
          <w:sz w:val="24"/>
          <w:szCs w:val="24"/>
        </w:rPr>
        <w:t>CHI-2</w:t>
      </w:r>
      <w:r w:rsidR="00E26D37">
        <w:rPr>
          <w:sz w:val="24"/>
          <w:szCs w:val="24"/>
        </w:rPr>
        <w:t xml:space="preserve"> Grant.</w:t>
      </w:r>
    </w:p>
    <w:p w14:paraId="46D102C2" w14:textId="403107C8" w:rsidR="00AC3AC8" w:rsidRDefault="00E26D37" w:rsidP="00A20A3D">
      <w:pPr>
        <w:tabs>
          <w:tab w:val="left" w:pos="-1710"/>
        </w:tabs>
        <w:spacing w:before="240"/>
        <w:jc w:val="both"/>
        <w:rPr>
          <w:sz w:val="24"/>
          <w:szCs w:val="24"/>
        </w:rPr>
      </w:pPr>
      <w:r>
        <w:rPr>
          <w:sz w:val="24"/>
          <w:szCs w:val="24"/>
        </w:rPr>
        <w:t>E</w:t>
      </w:r>
      <w:r w:rsidR="00BC7315" w:rsidRPr="000456F9">
        <w:rPr>
          <w:sz w:val="24"/>
          <w:szCs w:val="24"/>
        </w:rPr>
        <w:t xml:space="preserve">ach Grantee </w:t>
      </w:r>
      <w:r>
        <w:rPr>
          <w:sz w:val="24"/>
          <w:szCs w:val="24"/>
        </w:rPr>
        <w:t xml:space="preserve">shall </w:t>
      </w:r>
      <w:r w:rsidR="00BC7315" w:rsidRPr="000456F9">
        <w:rPr>
          <w:sz w:val="24"/>
          <w:szCs w:val="24"/>
        </w:rPr>
        <w:t xml:space="preserve">establish </w:t>
      </w:r>
      <w:r>
        <w:rPr>
          <w:sz w:val="24"/>
          <w:szCs w:val="24"/>
        </w:rPr>
        <w:t xml:space="preserve">and follow </w:t>
      </w:r>
      <w:r w:rsidR="00BC7315" w:rsidRPr="000456F9">
        <w:rPr>
          <w:sz w:val="24"/>
          <w:szCs w:val="24"/>
        </w:rPr>
        <w:t xml:space="preserve">procedures to inform the public and potential tenants of </w:t>
      </w:r>
      <w:r>
        <w:rPr>
          <w:sz w:val="24"/>
          <w:szCs w:val="24"/>
        </w:rPr>
        <w:t>FHEO</w:t>
      </w:r>
      <w:r w:rsidR="00BC7315" w:rsidRPr="000456F9">
        <w:rPr>
          <w:sz w:val="24"/>
          <w:szCs w:val="24"/>
        </w:rPr>
        <w:t xml:space="preserve"> and the Grantee's affirmative marketing program</w:t>
      </w:r>
      <w:r>
        <w:rPr>
          <w:sz w:val="24"/>
          <w:szCs w:val="24"/>
        </w:rPr>
        <w:t>. Grantees shall establish and follow</w:t>
      </w:r>
      <w:r w:rsidR="00BC7315" w:rsidRPr="000456F9">
        <w:rPr>
          <w:sz w:val="24"/>
          <w:szCs w:val="24"/>
        </w:rPr>
        <w:t xml:space="preserve"> procedures by which Grantees will solicit applications from potential tenants</w:t>
      </w:r>
      <w:r>
        <w:rPr>
          <w:sz w:val="24"/>
          <w:szCs w:val="24"/>
        </w:rPr>
        <w:t>.  Grantees shall</w:t>
      </w:r>
      <w:r w:rsidR="00BC7315" w:rsidRPr="000456F9">
        <w:rPr>
          <w:sz w:val="24"/>
          <w:szCs w:val="24"/>
        </w:rPr>
        <w:t xml:space="preserve"> maintain records of efforts to affirmatively market rental units</w:t>
      </w:r>
      <w:r w:rsidR="006D5489">
        <w:rPr>
          <w:sz w:val="24"/>
          <w:szCs w:val="24"/>
        </w:rPr>
        <w:t>, including those with limited English proficiency</w:t>
      </w:r>
      <w:r w:rsidR="00BC7315" w:rsidRPr="000456F9">
        <w:rPr>
          <w:sz w:val="24"/>
          <w:szCs w:val="24"/>
        </w:rPr>
        <w:t>.</w:t>
      </w:r>
      <w:r>
        <w:rPr>
          <w:sz w:val="24"/>
          <w:szCs w:val="24"/>
        </w:rPr>
        <w:t xml:space="preserve">  Grantees shall provide evidence of all of the above at the request of THDA.</w:t>
      </w:r>
    </w:p>
    <w:p w14:paraId="002760BA" w14:textId="067C34C9" w:rsidR="00C80C00" w:rsidRDefault="00C80C00" w:rsidP="006D5489">
      <w:pPr>
        <w:tabs>
          <w:tab w:val="left" w:pos="-1710"/>
        </w:tabs>
        <w:spacing w:before="240"/>
        <w:ind w:left="360" w:hanging="360"/>
        <w:jc w:val="both"/>
        <w:rPr>
          <w:b/>
          <w:caps/>
          <w:sz w:val="24"/>
          <w:szCs w:val="24"/>
        </w:rPr>
      </w:pPr>
      <w:r w:rsidRPr="0014046F">
        <w:rPr>
          <w:b/>
          <w:sz w:val="24"/>
          <w:szCs w:val="24"/>
        </w:rPr>
        <w:t>J.</w:t>
      </w:r>
      <w:r>
        <w:rPr>
          <w:sz w:val="24"/>
          <w:szCs w:val="24"/>
        </w:rPr>
        <w:tab/>
      </w:r>
      <w:r w:rsidR="008D3D66" w:rsidRPr="008D3D66">
        <w:rPr>
          <w:b/>
          <w:sz w:val="24"/>
          <w:szCs w:val="24"/>
        </w:rPr>
        <w:t>AFFORDABLE HOUSING LOCATOR SYSTEMS</w:t>
      </w:r>
      <w:r w:rsidR="008D3D66">
        <w:rPr>
          <w:sz w:val="24"/>
          <w:szCs w:val="24"/>
        </w:rPr>
        <w:t xml:space="preserve"> </w:t>
      </w:r>
    </w:p>
    <w:p w14:paraId="70F2362B" w14:textId="77777777" w:rsidR="008D3D66" w:rsidRDefault="00F903BC" w:rsidP="00A20A3D">
      <w:pPr>
        <w:tabs>
          <w:tab w:val="left" w:pos="-1710"/>
        </w:tabs>
        <w:spacing w:before="240"/>
        <w:jc w:val="both"/>
        <w:rPr>
          <w:sz w:val="24"/>
          <w:szCs w:val="24"/>
        </w:rPr>
      </w:pPr>
      <w:r>
        <w:rPr>
          <w:sz w:val="24"/>
          <w:szCs w:val="24"/>
        </w:rPr>
        <w:t>Beginning at the start of initial lease-up through the end of the compliance period, a</w:t>
      </w:r>
      <w:r w:rsidR="00C80C00" w:rsidRPr="0014046F">
        <w:rPr>
          <w:sz w:val="24"/>
          <w:szCs w:val="24"/>
        </w:rPr>
        <w:t xml:space="preserve">ll </w:t>
      </w:r>
      <w:r w:rsidR="00A3631B">
        <w:rPr>
          <w:sz w:val="24"/>
          <w:szCs w:val="24"/>
        </w:rPr>
        <w:t>Grantees shall list</w:t>
      </w:r>
      <w:r>
        <w:rPr>
          <w:sz w:val="24"/>
          <w:szCs w:val="24"/>
        </w:rPr>
        <w:t xml:space="preserve"> units available for occupancy on </w:t>
      </w:r>
      <w:r w:rsidR="008D3D66">
        <w:rPr>
          <w:sz w:val="24"/>
          <w:szCs w:val="24"/>
        </w:rPr>
        <w:t>both:</w:t>
      </w:r>
    </w:p>
    <w:p w14:paraId="61D6D16B" w14:textId="77777777" w:rsidR="006D5489" w:rsidRDefault="00F903BC" w:rsidP="00085EE7">
      <w:pPr>
        <w:pStyle w:val="ListParagraph"/>
        <w:numPr>
          <w:ilvl w:val="1"/>
          <w:numId w:val="18"/>
        </w:numPr>
        <w:tabs>
          <w:tab w:val="left" w:pos="-1710"/>
        </w:tabs>
        <w:spacing w:before="240"/>
        <w:ind w:left="720" w:hanging="360"/>
        <w:jc w:val="both"/>
        <w:rPr>
          <w:sz w:val="24"/>
          <w:szCs w:val="24"/>
        </w:rPr>
      </w:pPr>
      <w:r w:rsidRPr="008D3D66">
        <w:rPr>
          <w:sz w:val="24"/>
          <w:szCs w:val="24"/>
        </w:rPr>
        <w:t>TNHousingSearch.org or any subsequent affordable rental housing locator system sponsored by THDA</w:t>
      </w:r>
      <w:r w:rsidR="008D3D66" w:rsidRPr="008D3D66">
        <w:rPr>
          <w:sz w:val="24"/>
          <w:szCs w:val="24"/>
        </w:rPr>
        <w:t>,</w:t>
      </w:r>
      <w:r w:rsidRPr="008D3D66">
        <w:rPr>
          <w:sz w:val="24"/>
          <w:szCs w:val="24"/>
        </w:rPr>
        <w:t xml:space="preserve"> and</w:t>
      </w:r>
    </w:p>
    <w:p w14:paraId="1E1FC0EF" w14:textId="1AEF1A76" w:rsidR="008D3D66" w:rsidRPr="008D3D66" w:rsidRDefault="008D3D66" w:rsidP="006D5489">
      <w:pPr>
        <w:pStyle w:val="ListParagraph"/>
        <w:tabs>
          <w:tab w:val="left" w:pos="-1710"/>
        </w:tabs>
        <w:spacing w:before="240"/>
        <w:jc w:val="both"/>
        <w:rPr>
          <w:sz w:val="24"/>
          <w:szCs w:val="24"/>
        </w:rPr>
      </w:pPr>
      <w:r w:rsidRPr="008D3D66">
        <w:rPr>
          <w:sz w:val="24"/>
          <w:szCs w:val="24"/>
        </w:rPr>
        <w:t xml:space="preserve"> </w:t>
      </w:r>
    </w:p>
    <w:p w14:paraId="4F1AC886" w14:textId="686CB11B" w:rsidR="00C80C00" w:rsidRPr="008D3D66" w:rsidRDefault="008D3D66" w:rsidP="00085EE7">
      <w:pPr>
        <w:pStyle w:val="ListParagraph"/>
        <w:numPr>
          <w:ilvl w:val="1"/>
          <w:numId w:val="18"/>
        </w:numPr>
        <w:tabs>
          <w:tab w:val="left" w:pos="-1710"/>
        </w:tabs>
        <w:spacing w:before="240"/>
        <w:ind w:left="720" w:hanging="360"/>
        <w:jc w:val="both"/>
        <w:rPr>
          <w:sz w:val="24"/>
          <w:szCs w:val="24"/>
        </w:rPr>
      </w:pPr>
      <w:r w:rsidRPr="008D3D66">
        <w:rPr>
          <w:sz w:val="24"/>
          <w:szCs w:val="24"/>
        </w:rPr>
        <w:t>Recovery within Reach (</w:t>
      </w:r>
      <w:hyperlink r:id="rId11" w:history="1">
        <w:r w:rsidR="00105A65" w:rsidRPr="00641806">
          <w:rPr>
            <w:rStyle w:val="Hyperlink"/>
            <w:sz w:val="24"/>
            <w:szCs w:val="24"/>
          </w:rPr>
          <w:t>http://www.recoverywithinreach.org/housingwithinreach/</w:t>
        </w:r>
      </w:hyperlink>
      <w:r w:rsidRPr="008D3D66">
        <w:rPr>
          <w:sz w:val="24"/>
          <w:szCs w:val="24"/>
        </w:rPr>
        <w:t xml:space="preserve">) or any subsequent affordable rental housing locator system sponsored by </w:t>
      </w:r>
      <w:r w:rsidR="006D5489">
        <w:rPr>
          <w:sz w:val="24"/>
          <w:szCs w:val="24"/>
        </w:rPr>
        <w:t>TDMHSAS</w:t>
      </w:r>
      <w:r w:rsidR="00F903BC" w:rsidRPr="008D3D66">
        <w:rPr>
          <w:sz w:val="24"/>
          <w:szCs w:val="24"/>
        </w:rPr>
        <w:t xml:space="preserve">.  </w:t>
      </w:r>
      <w:r w:rsidR="00374385">
        <w:rPr>
          <w:sz w:val="24"/>
          <w:szCs w:val="24"/>
        </w:rPr>
        <w:br/>
      </w:r>
    </w:p>
    <w:p w14:paraId="53F630B1" w14:textId="04431D84" w:rsidR="00BC7315" w:rsidRPr="000456F9" w:rsidRDefault="00F903BC" w:rsidP="006D5489">
      <w:pPr>
        <w:tabs>
          <w:tab w:val="left" w:pos="-1710"/>
        </w:tabs>
        <w:spacing w:before="240"/>
        <w:ind w:left="360" w:hanging="360"/>
        <w:jc w:val="both"/>
        <w:rPr>
          <w:b/>
          <w:sz w:val="24"/>
          <w:szCs w:val="24"/>
        </w:rPr>
      </w:pPr>
      <w:r>
        <w:rPr>
          <w:b/>
          <w:sz w:val="24"/>
          <w:szCs w:val="24"/>
        </w:rPr>
        <w:t>K</w:t>
      </w:r>
      <w:r w:rsidR="00BC7315" w:rsidRPr="000456F9">
        <w:rPr>
          <w:b/>
          <w:sz w:val="24"/>
          <w:szCs w:val="24"/>
        </w:rPr>
        <w:t>.</w:t>
      </w:r>
      <w:r w:rsidR="00BC7315" w:rsidRPr="000456F9">
        <w:rPr>
          <w:b/>
          <w:sz w:val="24"/>
          <w:szCs w:val="24"/>
        </w:rPr>
        <w:tab/>
        <w:t>APPLICATION AND EVALUATION PROCEDURE</w:t>
      </w:r>
    </w:p>
    <w:p w14:paraId="26B6D22A" w14:textId="3E30B6F4" w:rsidR="00BC7315" w:rsidRDefault="002D29ED" w:rsidP="00BC7315">
      <w:pPr>
        <w:spacing w:before="240"/>
        <w:jc w:val="both"/>
        <w:rPr>
          <w:sz w:val="24"/>
          <w:szCs w:val="24"/>
        </w:rPr>
      </w:pPr>
      <w:r>
        <w:rPr>
          <w:sz w:val="24"/>
          <w:szCs w:val="24"/>
        </w:rPr>
        <w:t xml:space="preserve">Respondents should only limit the design of the recovery housing for individuals recovering from </w:t>
      </w:r>
      <w:r w:rsidR="00A35BA2">
        <w:rPr>
          <w:sz w:val="24"/>
          <w:szCs w:val="24"/>
        </w:rPr>
        <w:t>the u</w:t>
      </w:r>
      <w:r w:rsidR="00B05A89" w:rsidRPr="00B05A89">
        <w:rPr>
          <w:sz w:val="24"/>
          <w:szCs w:val="24"/>
        </w:rPr>
        <w:t xml:space="preserve">se of opioids or opioid derivatives </w:t>
      </w:r>
      <w:r>
        <w:rPr>
          <w:sz w:val="24"/>
          <w:szCs w:val="24"/>
        </w:rPr>
        <w:t xml:space="preserve">by the terms of the </w:t>
      </w:r>
      <w:r w:rsidR="008D3D66">
        <w:rPr>
          <w:sz w:val="24"/>
          <w:szCs w:val="24"/>
        </w:rPr>
        <w:t>CHI-2 Program Description</w:t>
      </w:r>
      <w:r>
        <w:rPr>
          <w:sz w:val="24"/>
          <w:szCs w:val="24"/>
        </w:rPr>
        <w:t>, the availability of matching sources and support services, and the</w:t>
      </w:r>
      <w:r w:rsidR="00BC7315" w:rsidRPr="000456F9">
        <w:rPr>
          <w:sz w:val="24"/>
          <w:szCs w:val="24"/>
        </w:rPr>
        <w:t xml:space="preserve"> need </w:t>
      </w:r>
      <w:r>
        <w:rPr>
          <w:sz w:val="24"/>
          <w:szCs w:val="24"/>
        </w:rPr>
        <w:t xml:space="preserve">in a given area </w:t>
      </w:r>
      <w:r w:rsidR="00BC7315" w:rsidRPr="000456F9">
        <w:rPr>
          <w:sz w:val="24"/>
          <w:szCs w:val="24"/>
        </w:rPr>
        <w:t xml:space="preserve">for the proposed project.  </w:t>
      </w:r>
    </w:p>
    <w:p w14:paraId="4A12BF39" w14:textId="6DE780C2" w:rsidR="002D29ED" w:rsidRDefault="002D29ED" w:rsidP="00BC7315">
      <w:pPr>
        <w:spacing w:before="240"/>
        <w:jc w:val="both"/>
        <w:rPr>
          <w:sz w:val="24"/>
          <w:szCs w:val="24"/>
        </w:rPr>
      </w:pPr>
      <w:r w:rsidRPr="000456F9">
        <w:rPr>
          <w:sz w:val="24"/>
          <w:szCs w:val="24"/>
        </w:rPr>
        <w:lastRenderedPageBreak/>
        <w:t xml:space="preserve">THDA </w:t>
      </w:r>
      <w:r>
        <w:rPr>
          <w:sz w:val="24"/>
          <w:szCs w:val="24"/>
        </w:rPr>
        <w:t xml:space="preserve">and TDMHSAS </w:t>
      </w:r>
      <w:r w:rsidRPr="000456F9">
        <w:rPr>
          <w:sz w:val="24"/>
          <w:szCs w:val="24"/>
        </w:rPr>
        <w:t>will evaluate each application to determine if the proposal meets program criteria, including</w:t>
      </w:r>
      <w:r>
        <w:rPr>
          <w:sz w:val="24"/>
          <w:szCs w:val="24"/>
        </w:rPr>
        <w:t>, without limitation,</w:t>
      </w:r>
      <w:r w:rsidRPr="000456F9">
        <w:rPr>
          <w:sz w:val="24"/>
          <w:szCs w:val="24"/>
        </w:rPr>
        <w:t xml:space="preserve"> submission of a complete application</w:t>
      </w:r>
      <w:r>
        <w:rPr>
          <w:sz w:val="24"/>
          <w:szCs w:val="24"/>
        </w:rPr>
        <w:t>,</w:t>
      </w:r>
      <w:r w:rsidRPr="000456F9">
        <w:rPr>
          <w:sz w:val="24"/>
          <w:szCs w:val="24"/>
        </w:rPr>
        <w:t xml:space="preserve"> proposal of an eligible activity</w:t>
      </w:r>
      <w:r>
        <w:rPr>
          <w:sz w:val="24"/>
          <w:szCs w:val="24"/>
        </w:rPr>
        <w:t xml:space="preserve"> that serves individuals recovering from </w:t>
      </w:r>
      <w:r w:rsidR="00A35BA2">
        <w:rPr>
          <w:sz w:val="24"/>
          <w:szCs w:val="24"/>
        </w:rPr>
        <w:t>the u</w:t>
      </w:r>
      <w:r w:rsidR="00B05A89" w:rsidRPr="00B05A89">
        <w:rPr>
          <w:sz w:val="24"/>
          <w:szCs w:val="24"/>
        </w:rPr>
        <w:t>se of opioids or opioid</w:t>
      </w:r>
      <w:r w:rsidR="00A35BA2">
        <w:rPr>
          <w:sz w:val="24"/>
          <w:szCs w:val="24"/>
        </w:rPr>
        <w:t xml:space="preserve"> derivatives</w:t>
      </w:r>
      <w:r>
        <w:rPr>
          <w:sz w:val="24"/>
          <w:szCs w:val="24"/>
        </w:rPr>
        <w:t xml:space="preserve">, </w:t>
      </w:r>
      <w:r w:rsidRPr="000456F9">
        <w:rPr>
          <w:sz w:val="24"/>
          <w:szCs w:val="24"/>
        </w:rPr>
        <w:t>and proposal of a project that in the opinion of THDA</w:t>
      </w:r>
      <w:r>
        <w:rPr>
          <w:sz w:val="24"/>
          <w:szCs w:val="24"/>
        </w:rPr>
        <w:t>, in its sole discretion,</w:t>
      </w:r>
      <w:r w:rsidRPr="000456F9">
        <w:rPr>
          <w:sz w:val="24"/>
          <w:szCs w:val="24"/>
        </w:rPr>
        <w:t xml:space="preserve"> is physically, financially and administratively feasible.  </w:t>
      </w:r>
    </w:p>
    <w:p w14:paraId="33F2CCE2" w14:textId="3702D1E9" w:rsidR="002D29ED" w:rsidRDefault="00085EE7" w:rsidP="002D29ED">
      <w:pPr>
        <w:spacing w:before="240"/>
        <w:jc w:val="both"/>
        <w:rPr>
          <w:sz w:val="24"/>
          <w:szCs w:val="24"/>
        </w:rPr>
      </w:pPr>
      <w:r>
        <w:rPr>
          <w:sz w:val="24"/>
          <w:szCs w:val="24"/>
        </w:rPr>
        <w:t xml:space="preserve">THDA </w:t>
      </w:r>
      <w:r w:rsidRPr="00085EE7">
        <w:rPr>
          <w:sz w:val="24"/>
          <w:szCs w:val="24"/>
          <w:u w:val="single"/>
        </w:rPr>
        <w:t>will not consider</w:t>
      </w:r>
      <w:r>
        <w:rPr>
          <w:sz w:val="24"/>
          <w:szCs w:val="24"/>
        </w:rPr>
        <w:t xml:space="preserve"> a</w:t>
      </w:r>
      <w:r w:rsidR="002D29ED" w:rsidRPr="000456F9">
        <w:rPr>
          <w:sz w:val="24"/>
          <w:szCs w:val="24"/>
        </w:rPr>
        <w:t xml:space="preserve">pplications if the </w:t>
      </w:r>
      <w:r>
        <w:rPr>
          <w:sz w:val="24"/>
          <w:szCs w:val="24"/>
        </w:rPr>
        <w:t>applicant fails to submit the following threshold items by the application due date and in accordance with the documentation submission instructions:</w:t>
      </w:r>
    </w:p>
    <w:p w14:paraId="04AABB38" w14:textId="77777777" w:rsidR="002D29ED" w:rsidRPr="000456F9" w:rsidRDefault="002D29ED" w:rsidP="00085EE7">
      <w:pPr>
        <w:pStyle w:val="ListParagraph"/>
        <w:numPr>
          <w:ilvl w:val="0"/>
          <w:numId w:val="6"/>
        </w:numPr>
        <w:spacing w:before="120"/>
        <w:contextualSpacing w:val="0"/>
        <w:jc w:val="both"/>
        <w:rPr>
          <w:sz w:val="24"/>
          <w:szCs w:val="24"/>
        </w:rPr>
      </w:pPr>
      <w:r w:rsidRPr="000456F9">
        <w:rPr>
          <w:sz w:val="24"/>
          <w:szCs w:val="24"/>
        </w:rPr>
        <w:t>Application signed by the</w:t>
      </w:r>
      <w:r>
        <w:rPr>
          <w:sz w:val="24"/>
          <w:szCs w:val="24"/>
        </w:rPr>
        <w:t xml:space="preserve"> organization’s</w:t>
      </w:r>
      <w:r w:rsidRPr="000456F9">
        <w:rPr>
          <w:sz w:val="24"/>
          <w:szCs w:val="24"/>
        </w:rPr>
        <w:t xml:space="preserve"> Chief Executive </w:t>
      </w:r>
      <w:r>
        <w:rPr>
          <w:sz w:val="24"/>
          <w:szCs w:val="24"/>
        </w:rPr>
        <w:t xml:space="preserve">or </w:t>
      </w:r>
      <w:r w:rsidRPr="000456F9">
        <w:rPr>
          <w:sz w:val="24"/>
          <w:szCs w:val="24"/>
        </w:rPr>
        <w:t>President/Chairman of the Board of Directors.</w:t>
      </w:r>
    </w:p>
    <w:p w14:paraId="24DD00E7" w14:textId="77777777" w:rsidR="002D29ED" w:rsidRDefault="002D29ED" w:rsidP="00085EE7">
      <w:pPr>
        <w:pStyle w:val="ListParagraph"/>
        <w:numPr>
          <w:ilvl w:val="0"/>
          <w:numId w:val="6"/>
        </w:numPr>
        <w:spacing w:before="120"/>
        <w:contextualSpacing w:val="0"/>
        <w:jc w:val="both"/>
        <w:rPr>
          <w:sz w:val="24"/>
          <w:szCs w:val="24"/>
        </w:rPr>
      </w:pPr>
      <w:r w:rsidRPr="000456F9">
        <w:rPr>
          <w:sz w:val="24"/>
          <w:szCs w:val="24"/>
        </w:rPr>
        <w:t>Copy of the latest audit or audited financial statement</w:t>
      </w:r>
      <w:r>
        <w:rPr>
          <w:sz w:val="24"/>
          <w:szCs w:val="24"/>
        </w:rPr>
        <w:t xml:space="preserve"> of the organization</w:t>
      </w:r>
      <w:r w:rsidRPr="000456F9">
        <w:rPr>
          <w:sz w:val="24"/>
          <w:szCs w:val="24"/>
        </w:rPr>
        <w:t xml:space="preserve">.  </w:t>
      </w:r>
    </w:p>
    <w:p w14:paraId="4D78622D" w14:textId="77777777" w:rsidR="002D29ED" w:rsidRPr="0014046F" w:rsidRDefault="002D29ED" w:rsidP="00085EE7">
      <w:pPr>
        <w:pStyle w:val="ListParagraph"/>
        <w:numPr>
          <w:ilvl w:val="0"/>
          <w:numId w:val="6"/>
        </w:numPr>
        <w:spacing w:before="120"/>
        <w:contextualSpacing w:val="0"/>
        <w:jc w:val="both"/>
        <w:rPr>
          <w:sz w:val="24"/>
          <w:szCs w:val="24"/>
        </w:rPr>
      </w:pPr>
      <w:r w:rsidRPr="0014046F">
        <w:rPr>
          <w:sz w:val="24"/>
          <w:szCs w:val="24"/>
        </w:rPr>
        <w:t xml:space="preserve">Copy of a current resolution by the Board of Directors or governing body approving the submission of the application under the </w:t>
      </w:r>
      <w:r>
        <w:rPr>
          <w:sz w:val="24"/>
          <w:szCs w:val="24"/>
        </w:rPr>
        <w:t>CHI-2</w:t>
      </w:r>
      <w:r w:rsidRPr="0014046F">
        <w:rPr>
          <w:sz w:val="24"/>
          <w:szCs w:val="24"/>
        </w:rPr>
        <w:t xml:space="preserve"> Program Description.</w:t>
      </w:r>
    </w:p>
    <w:p w14:paraId="1E5B4466" w14:textId="77777777" w:rsidR="002D29ED" w:rsidRPr="0098263C" w:rsidRDefault="002D29ED" w:rsidP="00085EE7">
      <w:pPr>
        <w:pStyle w:val="ListParagraph"/>
        <w:numPr>
          <w:ilvl w:val="0"/>
          <w:numId w:val="6"/>
        </w:numPr>
        <w:spacing w:before="120"/>
        <w:contextualSpacing w:val="0"/>
        <w:jc w:val="both"/>
        <w:rPr>
          <w:sz w:val="24"/>
          <w:szCs w:val="24"/>
        </w:rPr>
      </w:pPr>
      <w:r>
        <w:rPr>
          <w:sz w:val="24"/>
          <w:szCs w:val="24"/>
        </w:rPr>
        <w:t>If a non-profit organization, a</w:t>
      </w:r>
      <w:r w:rsidRPr="000456F9">
        <w:rPr>
          <w:sz w:val="24"/>
          <w:szCs w:val="24"/>
        </w:rPr>
        <w:t xml:space="preserve"> Certificate of Existence </w:t>
      </w:r>
      <w:r>
        <w:rPr>
          <w:sz w:val="24"/>
          <w:szCs w:val="24"/>
        </w:rPr>
        <w:t xml:space="preserve">or Certificate of Authorization from the Tennessee Secretary of State, as applicable, </w:t>
      </w:r>
      <w:r w:rsidRPr="000456F9">
        <w:rPr>
          <w:sz w:val="24"/>
          <w:szCs w:val="24"/>
        </w:rPr>
        <w:t xml:space="preserve">dated within </w:t>
      </w:r>
      <w:r>
        <w:rPr>
          <w:sz w:val="24"/>
          <w:szCs w:val="24"/>
        </w:rPr>
        <w:t>30 days of the application date</w:t>
      </w:r>
      <w:r w:rsidRPr="000456F9">
        <w:rPr>
          <w:sz w:val="24"/>
          <w:szCs w:val="24"/>
        </w:rPr>
        <w:t>.</w:t>
      </w:r>
      <w:r>
        <w:rPr>
          <w:sz w:val="24"/>
          <w:szCs w:val="24"/>
        </w:rPr>
        <w:t xml:space="preserve"> If the non-profit organization is organized in a state other than Tennessee, a Certificate of Existence from the Secretary of State in which the organization was organized must also be submitted.</w:t>
      </w:r>
    </w:p>
    <w:p w14:paraId="2E5BADAF" w14:textId="77777777" w:rsidR="002D29ED" w:rsidRPr="000456F9" w:rsidRDefault="002D29ED" w:rsidP="00085EE7">
      <w:pPr>
        <w:pStyle w:val="ListParagraph"/>
        <w:numPr>
          <w:ilvl w:val="0"/>
          <w:numId w:val="6"/>
        </w:numPr>
        <w:spacing w:before="120"/>
        <w:contextualSpacing w:val="0"/>
        <w:jc w:val="both"/>
        <w:rPr>
          <w:sz w:val="24"/>
          <w:szCs w:val="24"/>
        </w:rPr>
      </w:pPr>
      <w:r>
        <w:rPr>
          <w:sz w:val="24"/>
          <w:szCs w:val="24"/>
        </w:rPr>
        <w:t>If a nonprofit organization, d</w:t>
      </w:r>
      <w:r w:rsidRPr="000456F9">
        <w:rPr>
          <w:sz w:val="24"/>
          <w:szCs w:val="24"/>
        </w:rPr>
        <w:t xml:space="preserve">ocumentation of an IRS designation under Section 501(c)3 or Section 501(c)4 of the federal tax code.  </w:t>
      </w:r>
    </w:p>
    <w:p w14:paraId="0E22E7FF" w14:textId="77777777" w:rsidR="002D29ED" w:rsidRDefault="002D29ED" w:rsidP="00085EE7">
      <w:pPr>
        <w:pStyle w:val="ListParagraph"/>
        <w:numPr>
          <w:ilvl w:val="0"/>
          <w:numId w:val="6"/>
        </w:numPr>
        <w:spacing w:before="120"/>
        <w:contextualSpacing w:val="0"/>
        <w:jc w:val="both"/>
        <w:rPr>
          <w:sz w:val="24"/>
          <w:szCs w:val="24"/>
        </w:rPr>
      </w:pPr>
      <w:r>
        <w:rPr>
          <w:sz w:val="24"/>
          <w:szCs w:val="24"/>
        </w:rPr>
        <w:t>If a nonprofit organization, c</w:t>
      </w:r>
      <w:r w:rsidRPr="00395343">
        <w:rPr>
          <w:sz w:val="24"/>
          <w:szCs w:val="24"/>
        </w:rPr>
        <w:t>opy of the Charter and By-laws of the organization.</w:t>
      </w:r>
    </w:p>
    <w:p w14:paraId="6C2AD7CF" w14:textId="77777777" w:rsidR="002D29ED" w:rsidRPr="00351119" w:rsidRDefault="002D29ED" w:rsidP="002D29ED">
      <w:pPr>
        <w:pStyle w:val="ListParagraph"/>
        <w:spacing w:before="120"/>
        <w:contextualSpacing w:val="0"/>
        <w:jc w:val="both"/>
        <w:rPr>
          <w:sz w:val="24"/>
          <w:szCs w:val="24"/>
        </w:rPr>
      </w:pPr>
    </w:p>
    <w:p w14:paraId="29581A39" w14:textId="0C7136AC" w:rsidR="002D29ED" w:rsidRPr="000456F9" w:rsidRDefault="002D29ED" w:rsidP="00085EE7">
      <w:pPr>
        <w:pStyle w:val="ListParagraph"/>
        <w:spacing w:before="240"/>
        <w:ind w:left="0"/>
        <w:jc w:val="both"/>
        <w:rPr>
          <w:sz w:val="24"/>
          <w:szCs w:val="24"/>
        </w:rPr>
      </w:pPr>
      <w:r>
        <w:rPr>
          <w:sz w:val="24"/>
          <w:szCs w:val="24"/>
          <w:lang w:bidi="x-none"/>
        </w:rPr>
        <w:t xml:space="preserve">Additionally, all nonprofit organizations must upload </w:t>
      </w:r>
      <w:r w:rsidRPr="00F1773B">
        <w:rPr>
          <w:sz w:val="24"/>
          <w:szCs w:val="24"/>
          <w:lang w:bidi="x-none"/>
        </w:rPr>
        <w:t>through THDA’s Participant Information Management System (PIMS)</w:t>
      </w:r>
      <w:r>
        <w:rPr>
          <w:sz w:val="24"/>
          <w:szCs w:val="24"/>
          <w:lang w:bidi="x-none"/>
        </w:rPr>
        <w:t xml:space="preserve"> those o</w:t>
      </w:r>
      <w:r w:rsidRPr="0098263C">
        <w:rPr>
          <w:sz w:val="24"/>
          <w:szCs w:val="24"/>
          <w:lang w:bidi="x-none"/>
        </w:rPr>
        <w:t>rganizational documents required to be uploaded</w:t>
      </w:r>
      <w:r>
        <w:rPr>
          <w:sz w:val="24"/>
          <w:szCs w:val="24"/>
          <w:lang w:bidi="x-none"/>
        </w:rPr>
        <w:t xml:space="preserve"> through PIMS</w:t>
      </w:r>
      <w:r w:rsidRPr="0098263C">
        <w:rPr>
          <w:sz w:val="24"/>
          <w:szCs w:val="24"/>
          <w:lang w:bidi="x-none"/>
        </w:rPr>
        <w:t>. Copies of organizational documents that are required to be submitted through PIMS</w:t>
      </w:r>
      <w:r>
        <w:rPr>
          <w:sz w:val="24"/>
          <w:szCs w:val="24"/>
          <w:lang w:bidi="x-none"/>
        </w:rPr>
        <w:t>,</w:t>
      </w:r>
      <w:r w:rsidRPr="0098263C">
        <w:rPr>
          <w:sz w:val="24"/>
          <w:szCs w:val="24"/>
          <w:lang w:bidi="x-none"/>
        </w:rPr>
        <w:t xml:space="preserve"> but are submitted through another means</w:t>
      </w:r>
      <w:r>
        <w:rPr>
          <w:sz w:val="24"/>
          <w:szCs w:val="24"/>
          <w:lang w:bidi="x-none"/>
        </w:rPr>
        <w:t>,</w:t>
      </w:r>
      <w:r w:rsidRPr="0098263C">
        <w:rPr>
          <w:sz w:val="24"/>
          <w:szCs w:val="24"/>
          <w:lang w:bidi="x-none"/>
        </w:rPr>
        <w:t xml:space="preserve"> </w:t>
      </w:r>
      <w:r w:rsidRPr="0014046F">
        <w:rPr>
          <w:sz w:val="24"/>
          <w:szCs w:val="24"/>
          <w:u w:val="single"/>
          <w:lang w:bidi="x-none"/>
        </w:rPr>
        <w:t>will not</w:t>
      </w:r>
      <w:r w:rsidRPr="0098263C">
        <w:rPr>
          <w:sz w:val="24"/>
          <w:szCs w:val="24"/>
          <w:lang w:bidi="x-none"/>
        </w:rPr>
        <w:t xml:space="preserve"> be considered.</w:t>
      </w:r>
    </w:p>
    <w:p w14:paraId="05B1A040" w14:textId="436FF7A4" w:rsidR="00CC7C65" w:rsidRDefault="00085EE7" w:rsidP="001E7770">
      <w:pPr>
        <w:spacing w:before="240"/>
        <w:jc w:val="both"/>
        <w:rPr>
          <w:sz w:val="24"/>
          <w:szCs w:val="24"/>
        </w:rPr>
      </w:pPr>
      <w:r>
        <w:rPr>
          <w:sz w:val="24"/>
          <w:szCs w:val="24"/>
        </w:rPr>
        <w:t>The</w:t>
      </w:r>
      <w:r w:rsidR="00CC4058" w:rsidRPr="000456F9">
        <w:rPr>
          <w:sz w:val="24"/>
          <w:szCs w:val="24"/>
        </w:rPr>
        <w:t xml:space="preserve"> Review Committee will score and rank all a</w:t>
      </w:r>
      <w:r w:rsidR="00BC7315" w:rsidRPr="000456F9">
        <w:rPr>
          <w:sz w:val="24"/>
          <w:szCs w:val="24"/>
        </w:rPr>
        <w:t>pplications meeting the threshold criteria</w:t>
      </w:r>
      <w:r w:rsidR="00937963">
        <w:rPr>
          <w:sz w:val="24"/>
          <w:szCs w:val="24"/>
        </w:rPr>
        <w:t>, as determined by the Review Committee in its sole discretion</w:t>
      </w:r>
      <w:r w:rsidR="00CC4058" w:rsidRPr="000456F9">
        <w:rPr>
          <w:sz w:val="24"/>
          <w:szCs w:val="24"/>
        </w:rPr>
        <w:t xml:space="preserve">. Applications will be </w:t>
      </w:r>
      <w:r w:rsidR="00BC7315" w:rsidRPr="000456F9">
        <w:rPr>
          <w:sz w:val="24"/>
          <w:szCs w:val="24"/>
        </w:rPr>
        <w:t>ranked in descending numerical order based on the categories</w:t>
      </w:r>
      <w:r w:rsidR="004423C6" w:rsidRPr="000456F9">
        <w:rPr>
          <w:sz w:val="24"/>
          <w:szCs w:val="24"/>
        </w:rPr>
        <w:t xml:space="preserve"> in </w:t>
      </w:r>
      <w:r w:rsidR="00CC4058" w:rsidRPr="000456F9">
        <w:rPr>
          <w:sz w:val="24"/>
          <w:szCs w:val="24"/>
        </w:rPr>
        <w:t xml:space="preserve">the </w:t>
      </w:r>
      <w:r w:rsidR="003D5911">
        <w:rPr>
          <w:sz w:val="24"/>
          <w:szCs w:val="24"/>
        </w:rPr>
        <w:t>CHI-2 Scoring</w:t>
      </w:r>
      <w:r w:rsidR="00273B03">
        <w:rPr>
          <w:sz w:val="24"/>
          <w:szCs w:val="24"/>
        </w:rPr>
        <w:t xml:space="preserve"> Matrix.</w:t>
      </w:r>
      <w:r w:rsidR="006A30C1">
        <w:rPr>
          <w:sz w:val="24"/>
          <w:szCs w:val="24"/>
        </w:rPr>
        <w:t xml:space="preserve"> </w:t>
      </w:r>
    </w:p>
    <w:p w14:paraId="68BD5E59" w14:textId="77777777" w:rsidR="00085EE7" w:rsidRDefault="00085EE7" w:rsidP="00085EE7">
      <w:pPr>
        <w:spacing w:before="240"/>
        <w:jc w:val="both"/>
        <w:rPr>
          <w:sz w:val="24"/>
          <w:szCs w:val="24"/>
        </w:rPr>
      </w:pPr>
      <w:r w:rsidRPr="0071751F">
        <w:rPr>
          <w:sz w:val="24"/>
          <w:szCs w:val="24"/>
        </w:rPr>
        <w:t>Applicants must receive a minimum score of 6</w:t>
      </w:r>
      <w:r>
        <w:rPr>
          <w:sz w:val="24"/>
          <w:szCs w:val="24"/>
        </w:rPr>
        <w:t xml:space="preserve">0 to be considered for funding. </w:t>
      </w:r>
    </w:p>
    <w:p w14:paraId="58260546" w14:textId="280DD906" w:rsidR="00CC7C65" w:rsidRPr="00B467A5" w:rsidRDefault="002C5024" w:rsidP="00CC7C65">
      <w:pPr>
        <w:pStyle w:val="BodyText2"/>
        <w:rPr>
          <w:szCs w:val="24"/>
        </w:rPr>
      </w:pPr>
      <w:r w:rsidRPr="00E515B0">
        <w:rPr>
          <w:szCs w:val="24"/>
        </w:rPr>
        <w:t xml:space="preserve">In the event of a tie score, THDA first will select the application with the highest </w:t>
      </w:r>
      <w:r w:rsidR="00067A23" w:rsidRPr="00E515B0">
        <w:rPr>
          <w:szCs w:val="24"/>
        </w:rPr>
        <w:t>Project Design</w:t>
      </w:r>
      <w:r w:rsidRPr="00E515B0">
        <w:rPr>
          <w:szCs w:val="24"/>
        </w:rPr>
        <w:t xml:space="preserve"> score and then, if a tie still remains, the highest total </w:t>
      </w:r>
      <w:r w:rsidR="00067A23" w:rsidRPr="00E515B0">
        <w:rPr>
          <w:szCs w:val="24"/>
        </w:rPr>
        <w:t>Applicant Capacity</w:t>
      </w:r>
      <w:r w:rsidRPr="00E515B0">
        <w:rPr>
          <w:szCs w:val="24"/>
        </w:rPr>
        <w:t xml:space="preserve"> score. If a tie still remains, THDA will prioritize funding for the application with the greatest number of </w:t>
      </w:r>
      <w:r w:rsidR="00FC03BF" w:rsidRPr="00E515B0">
        <w:rPr>
          <w:szCs w:val="24"/>
        </w:rPr>
        <w:t>CHI-2</w:t>
      </w:r>
      <w:r w:rsidRPr="00E515B0">
        <w:rPr>
          <w:szCs w:val="24"/>
        </w:rPr>
        <w:t xml:space="preserve"> funded units as the final determinant.</w:t>
      </w:r>
      <w:r w:rsidR="00CC7C65" w:rsidRPr="00B467A5">
        <w:rPr>
          <w:szCs w:val="24"/>
        </w:rPr>
        <w:t xml:space="preserve">  </w:t>
      </w:r>
    </w:p>
    <w:p w14:paraId="0D0DF1B7" w14:textId="39FDDEB6" w:rsidR="00B82F3E" w:rsidRPr="000456F9" w:rsidRDefault="00CC4058" w:rsidP="001E7770">
      <w:pPr>
        <w:spacing w:before="240"/>
        <w:jc w:val="both"/>
        <w:rPr>
          <w:sz w:val="24"/>
          <w:szCs w:val="24"/>
        </w:rPr>
      </w:pPr>
      <w:r w:rsidRPr="000456F9">
        <w:rPr>
          <w:sz w:val="24"/>
          <w:szCs w:val="24"/>
        </w:rPr>
        <w:t xml:space="preserve">The Review Committee will present its recommendations to the </w:t>
      </w:r>
      <w:r w:rsidR="00085EE7">
        <w:rPr>
          <w:sz w:val="24"/>
          <w:szCs w:val="24"/>
        </w:rPr>
        <w:t xml:space="preserve">THDA </w:t>
      </w:r>
      <w:r w:rsidR="0005591D">
        <w:rPr>
          <w:sz w:val="24"/>
          <w:szCs w:val="24"/>
        </w:rPr>
        <w:t>Executive Director</w:t>
      </w:r>
      <w:r w:rsidRPr="000456F9">
        <w:rPr>
          <w:sz w:val="24"/>
          <w:szCs w:val="24"/>
        </w:rPr>
        <w:t xml:space="preserve"> for </w:t>
      </w:r>
      <w:r w:rsidR="0005591D">
        <w:rPr>
          <w:sz w:val="24"/>
          <w:szCs w:val="24"/>
        </w:rPr>
        <w:t>determination of awards</w:t>
      </w:r>
      <w:r w:rsidRPr="000456F9">
        <w:rPr>
          <w:sz w:val="24"/>
          <w:szCs w:val="24"/>
        </w:rPr>
        <w:t xml:space="preserve">.  </w:t>
      </w:r>
      <w:r w:rsidR="008F1074" w:rsidRPr="000456F9">
        <w:rPr>
          <w:sz w:val="24"/>
          <w:szCs w:val="24"/>
        </w:rPr>
        <w:br w:type="page"/>
      </w:r>
    </w:p>
    <w:tbl>
      <w:tblPr>
        <w:tblStyle w:val="TableGrid"/>
        <w:tblW w:w="10170" w:type="dxa"/>
        <w:tblInd w:w="-95" w:type="dxa"/>
        <w:tblLook w:val="04A0" w:firstRow="1" w:lastRow="0" w:firstColumn="1" w:lastColumn="0" w:noHBand="0" w:noVBand="1"/>
      </w:tblPr>
      <w:tblGrid>
        <w:gridCol w:w="357"/>
        <w:gridCol w:w="3005"/>
        <w:gridCol w:w="5532"/>
        <w:gridCol w:w="1276"/>
      </w:tblGrid>
      <w:tr w:rsidR="001E4469" w14:paraId="4083E238" w14:textId="77777777" w:rsidTr="001E4469">
        <w:tc>
          <w:tcPr>
            <w:tcW w:w="10170" w:type="dxa"/>
            <w:gridSpan w:val="4"/>
            <w:tcBorders>
              <w:top w:val="single" w:sz="12" w:space="0" w:color="auto"/>
              <w:left w:val="single" w:sz="12" w:space="0" w:color="auto"/>
              <w:bottom w:val="single" w:sz="12" w:space="0" w:color="auto"/>
              <w:right w:val="single" w:sz="12" w:space="0" w:color="auto"/>
            </w:tcBorders>
            <w:vAlign w:val="center"/>
          </w:tcPr>
          <w:p w14:paraId="321A92F0" w14:textId="548083B7" w:rsidR="001E4469" w:rsidRPr="001E4469" w:rsidRDefault="001E4469" w:rsidP="001E4469">
            <w:pPr>
              <w:pStyle w:val="Footer"/>
              <w:tabs>
                <w:tab w:val="clear" w:pos="4320"/>
                <w:tab w:val="clear" w:pos="8640"/>
                <w:tab w:val="left" w:pos="7650"/>
              </w:tabs>
              <w:spacing w:before="120" w:after="120"/>
              <w:rPr>
                <w:b/>
                <w:i/>
                <w:sz w:val="24"/>
                <w:szCs w:val="24"/>
              </w:rPr>
            </w:pPr>
            <w:r w:rsidRPr="001E4469">
              <w:rPr>
                <w:b/>
                <w:i/>
                <w:sz w:val="28"/>
                <w:szCs w:val="28"/>
              </w:rPr>
              <w:lastRenderedPageBreak/>
              <w:t>CHI-2 SCORING MATRIX – UP TO 100 POINTS</w:t>
            </w:r>
          </w:p>
        </w:tc>
      </w:tr>
      <w:tr w:rsidR="00030C26" w14:paraId="4937A1D5" w14:textId="77777777" w:rsidTr="003709A8">
        <w:tc>
          <w:tcPr>
            <w:tcW w:w="8894" w:type="dxa"/>
            <w:gridSpan w:val="3"/>
            <w:tcBorders>
              <w:top w:val="single" w:sz="12" w:space="0" w:color="auto"/>
              <w:left w:val="single" w:sz="12" w:space="0" w:color="auto"/>
              <w:bottom w:val="single" w:sz="12" w:space="0" w:color="auto"/>
            </w:tcBorders>
          </w:tcPr>
          <w:p w14:paraId="2EB2614D" w14:textId="4B5412EE" w:rsidR="00030C26" w:rsidRPr="00AE7ED7" w:rsidRDefault="00AE7ED7" w:rsidP="00B467A5">
            <w:pPr>
              <w:pStyle w:val="Footer"/>
              <w:tabs>
                <w:tab w:val="clear" w:pos="4320"/>
                <w:tab w:val="clear" w:pos="8640"/>
                <w:tab w:val="left" w:pos="7650"/>
              </w:tabs>
              <w:spacing w:before="120" w:after="120"/>
              <w:rPr>
                <w:b/>
                <w:sz w:val="22"/>
                <w:szCs w:val="22"/>
              </w:rPr>
            </w:pPr>
            <w:r>
              <w:rPr>
                <w:b/>
                <w:sz w:val="22"/>
                <w:szCs w:val="22"/>
              </w:rPr>
              <w:t>PROJECT DESIGN</w:t>
            </w:r>
            <w:r w:rsidR="00030C26" w:rsidRPr="00AE7ED7">
              <w:rPr>
                <w:b/>
                <w:sz w:val="22"/>
                <w:szCs w:val="22"/>
              </w:rPr>
              <w:t>:</w:t>
            </w:r>
          </w:p>
        </w:tc>
        <w:tc>
          <w:tcPr>
            <w:tcW w:w="1276" w:type="dxa"/>
            <w:tcBorders>
              <w:top w:val="single" w:sz="12" w:space="0" w:color="auto"/>
              <w:bottom w:val="single" w:sz="12" w:space="0" w:color="auto"/>
              <w:right w:val="single" w:sz="12" w:space="0" w:color="auto"/>
            </w:tcBorders>
          </w:tcPr>
          <w:p w14:paraId="0C4B8B9C" w14:textId="7EA31057" w:rsidR="00030C26" w:rsidRPr="00AE7ED7" w:rsidRDefault="002610FF" w:rsidP="00140CE6">
            <w:pPr>
              <w:pStyle w:val="Footer"/>
              <w:tabs>
                <w:tab w:val="clear" w:pos="4320"/>
                <w:tab w:val="clear" w:pos="8640"/>
                <w:tab w:val="left" w:pos="7650"/>
              </w:tabs>
              <w:spacing w:before="120" w:after="120"/>
              <w:jc w:val="right"/>
              <w:rPr>
                <w:b/>
                <w:sz w:val="22"/>
                <w:szCs w:val="22"/>
              </w:rPr>
            </w:pPr>
            <w:r>
              <w:rPr>
                <w:b/>
                <w:sz w:val="22"/>
                <w:szCs w:val="22"/>
              </w:rPr>
              <w:t>4</w:t>
            </w:r>
            <w:r w:rsidR="00140CE6">
              <w:rPr>
                <w:b/>
                <w:sz w:val="22"/>
                <w:szCs w:val="22"/>
              </w:rPr>
              <w:t>0</w:t>
            </w:r>
            <w:r w:rsidR="00030C26" w:rsidRPr="00AE7ED7">
              <w:rPr>
                <w:b/>
                <w:sz w:val="22"/>
                <w:szCs w:val="22"/>
              </w:rPr>
              <w:t xml:space="preserve"> </w:t>
            </w:r>
            <w:r w:rsidR="00AE7ED7" w:rsidRPr="00374385">
              <w:rPr>
                <w:b/>
              </w:rPr>
              <w:t>POINTS</w:t>
            </w:r>
          </w:p>
        </w:tc>
      </w:tr>
      <w:tr w:rsidR="00AE7ED7" w14:paraId="73BCB56E" w14:textId="77777777" w:rsidTr="00A0075F">
        <w:tc>
          <w:tcPr>
            <w:tcW w:w="10170" w:type="dxa"/>
            <w:gridSpan w:val="4"/>
            <w:tcBorders>
              <w:left w:val="single" w:sz="12" w:space="0" w:color="auto"/>
              <w:right w:val="single" w:sz="12" w:space="0" w:color="auto"/>
            </w:tcBorders>
          </w:tcPr>
          <w:p w14:paraId="7C44BABC" w14:textId="3372E669" w:rsidR="00AE7ED7" w:rsidRPr="00030C26" w:rsidRDefault="00AE7ED7" w:rsidP="00AE7ED7">
            <w:pPr>
              <w:pStyle w:val="Footer"/>
              <w:numPr>
                <w:ilvl w:val="0"/>
                <w:numId w:val="22"/>
              </w:numPr>
              <w:tabs>
                <w:tab w:val="clear" w:pos="4320"/>
                <w:tab w:val="clear" w:pos="8640"/>
                <w:tab w:val="left" w:pos="7650"/>
              </w:tabs>
              <w:spacing w:before="120" w:after="120"/>
              <w:ind w:left="348"/>
              <w:rPr>
                <w:sz w:val="22"/>
                <w:szCs w:val="22"/>
              </w:rPr>
            </w:pPr>
            <w:r w:rsidRPr="00030C26">
              <w:rPr>
                <w:i/>
                <w:sz w:val="22"/>
                <w:szCs w:val="22"/>
              </w:rPr>
              <w:t>The program design is complete</w:t>
            </w:r>
            <w:r>
              <w:rPr>
                <w:i/>
                <w:sz w:val="22"/>
                <w:szCs w:val="22"/>
              </w:rPr>
              <w:t>, adheres to program guidelines,</w:t>
            </w:r>
            <w:r w:rsidRPr="00030C26">
              <w:rPr>
                <w:i/>
                <w:sz w:val="22"/>
                <w:szCs w:val="22"/>
              </w:rPr>
              <w:t xml:space="preserve"> all necessary components are identified in the application</w:t>
            </w:r>
            <w:r>
              <w:rPr>
                <w:i/>
                <w:sz w:val="22"/>
                <w:szCs w:val="22"/>
              </w:rPr>
              <w:t>, and demonstrates an effective use of THDA resources.</w:t>
            </w:r>
          </w:p>
        </w:tc>
      </w:tr>
      <w:tr w:rsidR="002610FF" w14:paraId="37282D3D" w14:textId="77777777" w:rsidTr="005D3AF0">
        <w:tc>
          <w:tcPr>
            <w:tcW w:w="357" w:type="dxa"/>
            <w:vMerge w:val="restart"/>
            <w:tcBorders>
              <w:top w:val="single" w:sz="12" w:space="0" w:color="auto"/>
              <w:left w:val="single" w:sz="12" w:space="0" w:color="auto"/>
              <w:right w:val="nil"/>
            </w:tcBorders>
          </w:tcPr>
          <w:p w14:paraId="298935F9" w14:textId="77777777" w:rsidR="002610FF" w:rsidRPr="00030C26" w:rsidRDefault="002610FF" w:rsidP="00B467A5">
            <w:pPr>
              <w:pStyle w:val="Footer"/>
              <w:tabs>
                <w:tab w:val="clear" w:pos="4320"/>
                <w:tab w:val="clear" w:pos="8640"/>
                <w:tab w:val="left" w:pos="7650"/>
              </w:tabs>
              <w:spacing w:before="120" w:after="120"/>
              <w:rPr>
                <w:sz w:val="22"/>
                <w:szCs w:val="22"/>
              </w:rPr>
            </w:pPr>
          </w:p>
        </w:tc>
        <w:tc>
          <w:tcPr>
            <w:tcW w:w="3005" w:type="dxa"/>
            <w:vMerge w:val="restart"/>
            <w:tcBorders>
              <w:top w:val="single" w:sz="12" w:space="0" w:color="auto"/>
              <w:left w:val="nil"/>
            </w:tcBorders>
          </w:tcPr>
          <w:p w14:paraId="5EAEBF37" w14:textId="53B5731D" w:rsidR="002610FF" w:rsidRPr="00030C26" w:rsidRDefault="002610FF" w:rsidP="00030C26">
            <w:pPr>
              <w:pStyle w:val="Footer"/>
              <w:numPr>
                <w:ilvl w:val="0"/>
                <w:numId w:val="21"/>
              </w:numPr>
              <w:tabs>
                <w:tab w:val="clear" w:pos="4320"/>
                <w:tab w:val="clear" w:pos="8640"/>
                <w:tab w:val="left" w:pos="7650"/>
              </w:tabs>
              <w:spacing w:before="120" w:after="120"/>
              <w:ind w:left="347"/>
              <w:rPr>
                <w:sz w:val="22"/>
                <w:szCs w:val="22"/>
              </w:rPr>
            </w:pPr>
            <w:r>
              <w:rPr>
                <w:sz w:val="22"/>
                <w:szCs w:val="22"/>
              </w:rPr>
              <w:t>Site Control – Up to 3 points</w:t>
            </w:r>
          </w:p>
        </w:tc>
        <w:tc>
          <w:tcPr>
            <w:tcW w:w="5532" w:type="dxa"/>
            <w:tcBorders>
              <w:top w:val="single" w:sz="12" w:space="0" w:color="auto"/>
            </w:tcBorders>
          </w:tcPr>
          <w:p w14:paraId="70EA93D8" w14:textId="1D84D161" w:rsidR="002610FF" w:rsidRPr="00030C26" w:rsidRDefault="002610FF" w:rsidP="00CA41F2">
            <w:pPr>
              <w:pStyle w:val="Footer"/>
              <w:tabs>
                <w:tab w:val="clear" w:pos="4320"/>
                <w:tab w:val="clear" w:pos="8640"/>
                <w:tab w:val="left" w:pos="7650"/>
              </w:tabs>
              <w:spacing w:before="120" w:after="120"/>
              <w:rPr>
                <w:sz w:val="22"/>
                <w:szCs w:val="22"/>
              </w:rPr>
            </w:pPr>
            <w:r>
              <w:rPr>
                <w:sz w:val="22"/>
                <w:szCs w:val="22"/>
              </w:rPr>
              <w:t xml:space="preserve">The Applicant owns the property on which the proposed housing will be </w:t>
            </w:r>
            <w:r w:rsidR="00CA41F2">
              <w:rPr>
                <w:sz w:val="22"/>
                <w:szCs w:val="22"/>
              </w:rPr>
              <w:t>developed.</w:t>
            </w:r>
          </w:p>
        </w:tc>
        <w:tc>
          <w:tcPr>
            <w:tcW w:w="1276" w:type="dxa"/>
            <w:tcBorders>
              <w:top w:val="single" w:sz="12" w:space="0" w:color="auto"/>
              <w:right w:val="single" w:sz="12" w:space="0" w:color="auto"/>
            </w:tcBorders>
          </w:tcPr>
          <w:p w14:paraId="7236B0C3" w14:textId="39E99120" w:rsidR="002610FF" w:rsidRPr="00030C26" w:rsidRDefault="002610FF" w:rsidP="00030C26">
            <w:pPr>
              <w:pStyle w:val="Footer"/>
              <w:tabs>
                <w:tab w:val="clear" w:pos="4320"/>
                <w:tab w:val="clear" w:pos="8640"/>
                <w:tab w:val="left" w:pos="7650"/>
              </w:tabs>
              <w:spacing w:before="120" w:after="120"/>
              <w:jc w:val="right"/>
              <w:rPr>
                <w:sz w:val="22"/>
                <w:szCs w:val="22"/>
              </w:rPr>
            </w:pPr>
            <w:r>
              <w:rPr>
                <w:sz w:val="22"/>
                <w:szCs w:val="22"/>
              </w:rPr>
              <w:t>3 Points</w:t>
            </w:r>
          </w:p>
        </w:tc>
      </w:tr>
      <w:tr w:rsidR="002610FF" w14:paraId="7BBF45F3" w14:textId="77777777" w:rsidTr="005D3AF0">
        <w:tc>
          <w:tcPr>
            <w:tcW w:w="357" w:type="dxa"/>
            <w:vMerge/>
            <w:tcBorders>
              <w:left w:val="single" w:sz="12" w:space="0" w:color="auto"/>
              <w:right w:val="nil"/>
            </w:tcBorders>
          </w:tcPr>
          <w:p w14:paraId="1B5C5581" w14:textId="77777777" w:rsidR="002610FF" w:rsidRPr="00030C26" w:rsidRDefault="002610FF" w:rsidP="00B467A5">
            <w:pPr>
              <w:pStyle w:val="Footer"/>
              <w:tabs>
                <w:tab w:val="clear" w:pos="4320"/>
                <w:tab w:val="clear" w:pos="8640"/>
                <w:tab w:val="left" w:pos="7650"/>
              </w:tabs>
              <w:spacing w:before="120" w:after="120"/>
              <w:rPr>
                <w:sz w:val="22"/>
                <w:szCs w:val="22"/>
              </w:rPr>
            </w:pPr>
          </w:p>
        </w:tc>
        <w:tc>
          <w:tcPr>
            <w:tcW w:w="3005" w:type="dxa"/>
            <w:vMerge/>
            <w:tcBorders>
              <w:left w:val="nil"/>
            </w:tcBorders>
          </w:tcPr>
          <w:p w14:paraId="490F960F" w14:textId="77777777" w:rsidR="002610FF" w:rsidRPr="00030C26" w:rsidRDefault="002610FF" w:rsidP="00B467A5">
            <w:pPr>
              <w:pStyle w:val="Footer"/>
              <w:tabs>
                <w:tab w:val="clear" w:pos="4320"/>
                <w:tab w:val="clear" w:pos="8640"/>
                <w:tab w:val="left" w:pos="7650"/>
              </w:tabs>
              <w:spacing w:before="120" w:after="120"/>
              <w:rPr>
                <w:sz w:val="22"/>
                <w:szCs w:val="22"/>
              </w:rPr>
            </w:pPr>
          </w:p>
        </w:tc>
        <w:tc>
          <w:tcPr>
            <w:tcW w:w="5532" w:type="dxa"/>
          </w:tcPr>
          <w:p w14:paraId="75FCAA8B" w14:textId="52A22FEF" w:rsidR="002610FF" w:rsidRPr="00030C26" w:rsidRDefault="002610FF" w:rsidP="00CA41F2">
            <w:pPr>
              <w:pStyle w:val="Footer"/>
              <w:tabs>
                <w:tab w:val="clear" w:pos="4320"/>
                <w:tab w:val="clear" w:pos="8640"/>
                <w:tab w:val="left" w:pos="7650"/>
              </w:tabs>
              <w:spacing w:before="120" w:after="120"/>
              <w:rPr>
                <w:sz w:val="22"/>
                <w:szCs w:val="22"/>
              </w:rPr>
            </w:pPr>
            <w:r>
              <w:rPr>
                <w:sz w:val="22"/>
                <w:szCs w:val="22"/>
              </w:rPr>
              <w:t xml:space="preserve">The Applicant has an option or contract to purchase the property on which the proposed housing will be </w:t>
            </w:r>
            <w:r w:rsidR="00CA41F2">
              <w:rPr>
                <w:sz w:val="22"/>
                <w:szCs w:val="22"/>
              </w:rPr>
              <w:t>develope</w:t>
            </w:r>
            <w:r>
              <w:rPr>
                <w:sz w:val="22"/>
                <w:szCs w:val="22"/>
              </w:rPr>
              <w:t xml:space="preserve">d. </w:t>
            </w:r>
          </w:p>
        </w:tc>
        <w:tc>
          <w:tcPr>
            <w:tcW w:w="1276" w:type="dxa"/>
            <w:tcBorders>
              <w:right w:val="single" w:sz="12" w:space="0" w:color="auto"/>
            </w:tcBorders>
          </w:tcPr>
          <w:p w14:paraId="79278251" w14:textId="1B433C81" w:rsidR="002610FF" w:rsidRPr="00030C26" w:rsidRDefault="002610FF" w:rsidP="00030C26">
            <w:pPr>
              <w:pStyle w:val="Footer"/>
              <w:tabs>
                <w:tab w:val="clear" w:pos="4320"/>
                <w:tab w:val="clear" w:pos="8640"/>
                <w:tab w:val="left" w:pos="7650"/>
              </w:tabs>
              <w:spacing w:before="120" w:after="120"/>
              <w:jc w:val="right"/>
              <w:rPr>
                <w:sz w:val="22"/>
                <w:szCs w:val="22"/>
              </w:rPr>
            </w:pPr>
            <w:r>
              <w:rPr>
                <w:sz w:val="22"/>
                <w:szCs w:val="22"/>
              </w:rPr>
              <w:t>2 Points</w:t>
            </w:r>
          </w:p>
        </w:tc>
      </w:tr>
      <w:tr w:rsidR="002610FF" w14:paraId="12F136A4" w14:textId="77777777" w:rsidTr="005D3AF0">
        <w:tc>
          <w:tcPr>
            <w:tcW w:w="357" w:type="dxa"/>
            <w:vMerge/>
            <w:tcBorders>
              <w:left w:val="single" w:sz="12" w:space="0" w:color="auto"/>
              <w:bottom w:val="single" w:sz="12" w:space="0" w:color="auto"/>
              <w:right w:val="nil"/>
            </w:tcBorders>
          </w:tcPr>
          <w:p w14:paraId="73EB6419" w14:textId="77777777" w:rsidR="002610FF" w:rsidRPr="00030C26" w:rsidRDefault="002610FF" w:rsidP="00B467A5">
            <w:pPr>
              <w:pStyle w:val="Footer"/>
              <w:tabs>
                <w:tab w:val="clear" w:pos="4320"/>
                <w:tab w:val="clear" w:pos="8640"/>
                <w:tab w:val="left" w:pos="7650"/>
              </w:tabs>
              <w:spacing w:before="120" w:after="120"/>
              <w:rPr>
                <w:sz w:val="22"/>
                <w:szCs w:val="22"/>
              </w:rPr>
            </w:pPr>
          </w:p>
        </w:tc>
        <w:tc>
          <w:tcPr>
            <w:tcW w:w="3005" w:type="dxa"/>
            <w:vMerge/>
            <w:tcBorders>
              <w:left w:val="nil"/>
              <w:bottom w:val="single" w:sz="12" w:space="0" w:color="auto"/>
            </w:tcBorders>
          </w:tcPr>
          <w:p w14:paraId="55D92181" w14:textId="77777777" w:rsidR="002610FF" w:rsidRPr="00030C26" w:rsidRDefault="002610FF" w:rsidP="00B467A5">
            <w:pPr>
              <w:pStyle w:val="Footer"/>
              <w:tabs>
                <w:tab w:val="clear" w:pos="4320"/>
                <w:tab w:val="clear" w:pos="8640"/>
                <w:tab w:val="left" w:pos="7650"/>
              </w:tabs>
              <w:spacing w:before="120" w:after="120"/>
              <w:rPr>
                <w:sz w:val="22"/>
                <w:szCs w:val="22"/>
              </w:rPr>
            </w:pPr>
          </w:p>
        </w:tc>
        <w:tc>
          <w:tcPr>
            <w:tcW w:w="5532" w:type="dxa"/>
            <w:tcBorders>
              <w:bottom w:val="single" w:sz="12" w:space="0" w:color="auto"/>
            </w:tcBorders>
          </w:tcPr>
          <w:p w14:paraId="05E74781" w14:textId="0608D79E" w:rsidR="002610FF" w:rsidRPr="00030C26" w:rsidRDefault="002610FF" w:rsidP="00CA41F2">
            <w:pPr>
              <w:pStyle w:val="Footer"/>
              <w:tabs>
                <w:tab w:val="clear" w:pos="4320"/>
                <w:tab w:val="clear" w:pos="8640"/>
                <w:tab w:val="left" w:pos="7650"/>
              </w:tabs>
              <w:spacing w:before="120" w:after="120"/>
              <w:rPr>
                <w:sz w:val="22"/>
                <w:szCs w:val="22"/>
              </w:rPr>
            </w:pPr>
            <w:r>
              <w:rPr>
                <w:sz w:val="22"/>
                <w:szCs w:val="22"/>
              </w:rPr>
              <w:t>The Applicant demonstrates a consistent and successful history of securing ownership control of property over the past five years prior to the Application Due Date that equals either:  (1) the number of single family units proposed in the application or (2)  if multifamily housing, the number of multifamily sites proposed for acquisition in th</w:t>
            </w:r>
            <w:r w:rsidR="00CA41F2">
              <w:rPr>
                <w:sz w:val="22"/>
                <w:szCs w:val="22"/>
              </w:rPr>
              <w:t>e</w:t>
            </w:r>
            <w:r>
              <w:rPr>
                <w:sz w:val="22"/>
                <w:szCs w:val="22"/>
              </w:rPr>
              <w:t xml:space="preserve"> application. </w:t>
            </w:r>
          </w:p>
        </w:tc>
        <w:tc>
          <w:tcPr>
            <w:tcW w:w="1276" w:type="dxa"/>
            <w:tcBorders>
              <w:right w:val="single" w:sz="12" w:space="0" w:color="auto"/>
            </w:tcBorders>
          </w:tcPr>
          <w:p w14:paraId="14AEDA16" w14:textId="4CAC5CFB" w:rsidR="002610FF" w:rsidRPr="00030C26" w:rsidRDefault="002610FF" w:rsidP="00AE7ED7">
            <w:pPr>
              <w:pStyle w:val="Footer"/>
              <w:tabs>
                <w:tab w:val="clear" w:pos="4320"/>
                <w:tab w:val="clear" w:pos="8640"/>
                <w:tab w:val="left" w:pos="7650"/>
              </w:tabs>
              <w:spacing w:before="120" w:after="120"/>
              <w:jc w:val="right"/>
              <w:rPr>
                <w:sz w:val="22"/>
                <w:szCs w:val="22"/>
              </w:rPr>
            </w:pPr>
            <w:r>
              <w:rPr>
                <w:sz w:val="22"/>
                <w:szCs w:val="22"/>
              </w:rPr>
              <w:t>1 Point</w:t>
            </w:r>
          </w:p>
        </w:tc>
      </w:tr>
      <w:tr w:rsidR="001E4469" w14:paraId="7D82279E" w14:textId="77777777" w:rsidTr="005D3AF0">
        <w:tc>
          <w:tcPr>
            <w:tcW w:w="357" w:type="dxa"/>
            <w:tcBorders>
              <w:top w:val="single" w:sz="12" w:space="0" w:color="auto"/>
              <w:left w:val="single" w:sz="12" w:space="0" w:color="auto"/>
              <w:bottom w:val="single" w:sz="12" w:space="0" w:color="auto"/>
              <w:right w:val="nil"/>
            </w:tcBorders>
          </w:tcPr>
          <w:p w14:paraId="4AC9F157" w14:textId="77777777" w:rsidR="00AE7ED7" w:rsidRPr="00030C26" w:rsidRDefault="00AE7ED7" w:rsidP="00B467A5">
            <w:pPr>
              <w:pStyle w:val="Footer"/>
              <w:tabs>
                <w:tab w:val="clear" w:pos="4320"/>
                <w:tab w:val="clear" w:pos="8640"/>
                <w:tab w:val="left" w:pos="7650"/>
              </w:tabs>
              <w:spacing w:before="120" w:after="120"/>
              <w:rPr>
                <w:sz w:val="22"/>
                <w:szCs w:val="22"/>
              </w:rPr>
            </w:pPr>
          </w:p>
        </w:tc>
        <w:tc>
          <w:tcPr>
            <w:tcW w:w="3005" w:type="dxa"/>
            <w:tcBorders>
              <w:left w:val="nil"/>
              <w:bottom w:val="single" w:sz="12" w:space="0" w:color="auto"/>
            </w:tcBorders>
          </w:tcPr>
          <w:p w14:paraId="6D0290EF" w14:textId="7314070D" w:rsidR="00AE7ED7" w:rsidRPr="00CA41F2" w:rsidRDefault="00AE7ED7" w:rsidP="00BF604B">
            <w:pPr>
              <w:pStyle w:val="ListParagraph"/>
              <w:numPr>
                <w:ilvl w:val="0"/>
                <w:numId w:val="21"/>
              </w:numPr>
              <w:spacing w:before="120"/>
              <w:ind w:left="346"/>
              <w:rPr>
                <w:sz w:val="22"/>
                <w:szCs w:val="22"/>
              </w:rPr>
            </w:pPr>
            <w:r w:rsidRPr="00CA41F2">
              <w:rPr>
                <w:sz w:val="22"/>
                <w:szCs w:val="22"/>
              </w:rPr>
              <w:t>The project is physically, administratively, and financially feasible with sufficient revenue for the on-going operation of the housi</w:t>
            </w:r>
            <w:r w:rsidR="00A0075F" w:rsidRPr="00CA41F2">
              <w:rPr>
                <w:sz w:val="22"/>
                <w:szCs w:val="22"/>
              </w:rPr>
              <w:t>ng during the compliance period – Up to 1</w:t>
            </w:r>
            <w:r w:rsidR="00BF604B" w:rsidRPr="00CA41F2">
              <w:rPr>
                <w:sz w:val="22"/>
                <w:szCs w:val="22"/>
              </w:rPr>
              <w:t>0</w:t>
            </w:r>
            <w:r w:rsidR="00A0075F" w:rsidRPr="00CA41F2">
              <w:rPr>
                <w:sz w:val="22"/>
                <w:szCs w:val="22"/>
              </w:rPr>
              <w:t xml:space="preserve"> points</w:t>
            </w:r>
          </w:p>
        </w:tc>
        <w:tc>
          <w:tcPr>
            <w:tcW w:w="5532" w:type="dxa"/>
            <w:tcBorders>
              <w:top w:val="single" w:sz="12" w:space="0" w:color="auto"/>
              <w:bottom w:val="single" w:sz="12" w:space="0" w:color="auto"/>
            </w:tcBorders>
          </w:tcPr>
          <w:p w14:paraId="397DA325" w14:textId="71E411AD" w:rsidR="00000D78" w:rsidRDefault="00000D78" w:rsidP="00000D78">
            <w:pPr>
              <w:pStyle w:val="Footer"/>
              <w:tabs>
                <w:tab w:val="clear" w:pos="4320"/>
                <w:tab w:val="clear" w:pos="8640"/>
                <w:tab w:val="left" w:pos="7650"/>
              </w:tabs>
              <w:spacing w:before="120" w:after="120"/>
              <w:rPr>
                <w:sz w:val="22"/>
                <w:szCs w:val="22"/>
              </w:rPr>
            </w:pPr>
            <w:r>
              <w:rPr>
                <w:sz w:val="22"/>
                <w:szCs w:val="22"/>
              </w:rPr>
              <w:t>The project feasibility worksheet is completed correctly and demonstrates that operating revenue supports operating expenses and expected cash flow is positive.</w:t>
            </w:r>
          </w:p>
          <w:p w14:paraId="16CF329F" w14:textId="410EF9FD" w:rsidR="00AE7ED7" w:rsidRDefault="00A0075F" w:rsidP="00A0075F">
            <w:pPr>
              <w:pStyle w:val="Footer"/>
              <w:tabs>
                <w:tab w:val="clear" w:pos="4320"/>
                <w:tab w:val="clear" w:pos="8640"/>
                <w:tab w:val="left" w:pos="7650"/>
              </w:tabs>
              <w:spacing w:before="120" w:after="120"/>
              <w:rPr>
                <w:sz w:val="22"/>
                <w:szCs w:val="22"/>
              </w:rPr>
            </w:pPr>
            <w:r>
              <w:rPr>
                <w:sz w:val="22"/>
                <w:szCs w:val="22"/>
              </w:rPr>
              <w:t xml:space="preserve">The physical unit design is appropriate for the target population such that all individuals, including those with physical disabilities, have full access to </w:t>
            </w:r>
            <w:r w:rsidR="00CA41F2">
              <w:rPr>
                <w:sz w:val="22"/>
                <w:szCs w:val="22"/>
              </w:rPr>
              <w:t>all common areas and amenities in</w:t>
            </w:r>
            <w:r>
              <w:rPr>
                <w:sz w:val="22"/>
                <w:szCs w:val="22"/>
              </w:rPr>
              <w:t xml:space="preserve"> the unit.  </w:t>
            </w:r>
          </w:p>
          <w:p w14:paraId="167F0621" w14:textId="3C3CFE38" w:rsidR="00E70F71" w:rsidRPr="00030C26" w:rsidRDefault="00E70F71" w:rsidP="00CA41F2">
            <w:pPr>
              <w:pStyle w:val="Footer"/>
              <w:tabs>
                <w:tab w:val="clear" w:pos="4320"/>
                <w:tab w:val="clear" w:pos="8640"/>
                <w:tab w:val="left" w:pos="7650"/>
              </w:tabs>
              <w:spacing w:before="120" w:after="120"/>
              <w:rPr>
                <w:sz w:val="22"/>
                <w:szCs w:val="22"/>
              </w:rPr>
            </w:pPr>
            <w:r>
              <w:rPr>
                <w:sz w:val="22"/>
                <w:szCs w:val="22"/>
              </w:rPr>
              <w:t xml:space="preserve">If site control has been established, </w:t>
            </w:r>
            <w:r w:rsidR="00CA41F2">
              <w:rPr>
                <w:sz w:val="22"/>
                <w:szCs w:val="22"/>
              </w:rPr>
              <w:t xml:space="preserve">the proposed housing meets local zoning requirements, if applicable. </w:t>
            </w:r>
          </w:p>
        </w:tc>
        <w:tc>
          <w:tcPr>
            <w:tcW w:w="1276" w:type="dxa"/>
            <w:tcBorders>
              <w:top w:val="single" w:sz="12" w:space="0" w:color="auto"/>
              <w:bottom w:val="single" w:sz="12" w:space="0" w:color="auto"/>
              <w:right w:val="single" w:sz="12" w:space="0" w:color="auto"/>
            </w:tcBorders>
          </w:tcPr>
          <w:p w14:paraId="221AE9A5" w14:textId="18CEEC55" w:rsidR="00AE7ED7" w:rsidRPr="00030C26" w:rsidRDefault="00A0075F" w:rsidP="00BF604B">
            <w:pPr>
              <w:pStyle w:val="Footer"/>
              <w:tabs>
                <w:tab w:val="clear" w:pos="4320"/>
                <w:tab w:val="clear" w:pos="8640"/>
                <w:tab w:val="left" w:pos="7650"/>
              </w:tabs>
              <w:spacing w:before="120" w:after="120"/>
              <w:jc w:val="right"/>
              <w:rPr>
                <w:sz w:val="22"/>
                <w:szCs w:val="22"/>
              </w:rPr>
            </w:pPr>
            <w:r>
              <w:rPr>
                <w:sz w:val="22"/>
                <w:szCs w:val="22"/>
              </w:rPr>
              <w:t xml:space="preserve">Up to </w:t>
            </w:r>
            <w:r w:rsidR="00140CE6">
              <w:rPr>
                <w:sz w:val="22"/>
                <w:szCs w:val="22"/>
              </w:rPr>
              <w:t>1</w:t>
            </w:r>
            <w:r w:rsidR="00BF604B">
              <w:rPr>
                <w:sz w:val="22"/>
                <w:szCs w:val="22"/>
              </w:rPr>
              <w:t>0</w:t>
            </w:r>
            <w:r>
              <w:rPr>
                <w:sz w:val="22"/>
                <w:szCs w:val="22"/>
              </w:rPr>
              <w:t xml:space="preserve"> points</w:t>
            </w:r>
          </w:p>
        </w:tc>
      </w:tr>
      <w:tr w:rsidR="00A0075F" w14:paraId="6483C839" w14:textId="77777777" w:rsidTr="00556220">
        <w:tc>
          <w:tcPr>
            <w:tcW w:w="357" w:type="dxa"/>
            <w:tcBorders>
              <w:top w:val="single" w:sz="12" w:space="0" w:color="auto"/>
              <w:left w:val="single" w:sz="12" w:space="0" w:color="auto"/>
              <w:bottom w:val="single" w:sz="12" w:space="0" w:color="auto"/>
              <w:right w:val="nil"/>
            </w:tcBorders>
          </w:tcPr>
          <w:p w14:paraId="472F6B1B" w14:textId="77777777" w:rsidR="00A0075F" w:rsidRPr="00030C26" w:rsidRDefault="00A0075F"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2E137F62" w14:textId="229282DE" w:rsidR="00A0075F" w:rsidRPr="00030C26" w:rsidRDefault="00A0075F" w:rsidP="00983602">
            <w:pPr>
              <w:pStyle w:val="Footer"/>
              <w:numPr>
                <w:ilvl w:val="0"/>
                <w:numId w:val="21"/>
              </w:numPr>
              <w:tabs>
                <w:tab w:val="clear" w:pos="4320"/>
                <w:tab w:val="clear" w:pos="8640"/>
                <w:tab w:val="left" w:pos="7650"/>
              </w:tabs>
              <w:spacing w:before="120" w:after="120"/>
              <w:ind w:left="335"/>
              <w:rPr>
                <w:sz w:val="22"/>
                <w:szCs w:val="22"/>
              </w:rPr>
            </w:pPr>
            <w:r>
              <w:rPr>
                <w:sz w:val="22"/>
                <w:szCs w:val="22"/>
              </w:rPr>
              <w:t>Rent Reasonable</w:t>
            </w:r>
            <w:r w:rsidR="00E70F71">
              <w:rPr>
                <w:sz w:val="22"/>
                <w:szCs w:val="22"/>
              </w:rPr>
              <w:t>ness</w:t>
            </w:r>
            <w:r>
              <w:rPr>
                <w:sz w:val="22"/>
                <w:szCs w:val="22"/>
              </w:rPr>
              <w:t xml:space="preserve"> – Up to </w:t>
            </w:r>
            <w:r w:rsidR="00983602">
              <w:rPr>
                <w:sz w:val="22"/>
                <w:szCs w:val="22"/>
              </w:rPr>
              <w:t>5</w:t>
            </w:r>
            <w:r>
              <w:rPr>
                <w:sz w:val="22"/>
                <w:szCs w:val="22"/>
              </w:rPr>
              <w:t xml:space="preserve"> points</w:t>
            </w:r>
          </w:p>
        </w:tc>
        <w:tc>
          <w:tcPr>
            <w:tcW w:w="5532" w:type="dxa"/>
            <w:tcBorders>
              <w:top w:val="single" w:sz="12" w:space="0" w:color="auto"/>
              <w:bottom w:val="single" w:sz="12" w:space="0" w:color="auto"/>
            </w:tcBorders>
          </w:tcPr>
          <w:p w14:paraId="3D0A99A3" w14:textId="654395AD" w:rsidR="00A0075F" w:rsidRPr="00030C26" w:rsidRDefault="00E70F71" w:rsidP="00A35BA2">
            <w:pPr>
              <w:pStyle w:val="Footer"/>
              <w:tabs>
                <w:tab w:val="clear" w:pos="4320"/>
                <w:tab w:val="clear" w:pos="8640"/>
                <w:tab w:val="left" w:pos="7650"/>
              </w:tabs>
              <w:spacing w:before="120" w:after="120"/>
              <w:rPr>
                <w:sz w:val="22"/>
                <w:szCs w:val="22"/>
              </w:rPr>
            </w:pPr>
            <w:r>
              <w:rPr>
                <w:sz w:val="22"/>
                <w:szCs w:val="22"/>
              </w:rPr>
              <w:t xml:space="preserve">Rents are affordable, such </w:t>
            </w:r>
            <w:r w:rsidR="0080239A">
              <w:rPr>
                <w:sz w:val="22"/>
                <w:szCs w:val="22"/>
              </w:rPr>
              <w:t xml:space="preserve">that  households targeted by the application </w:t>
            </w:r>
            <w:r w:rsidR="004C70FE">
              <w:rPr>
                <w:sz w:val="22"/>
                <w:szCs w:val="22"/>
              </w:rPr>
              <w:t xml:space="preserve">who suffer from the use of opioids or opioid derivatives </w:t>
            </w:r>
            <w:r>
              <w:rPr>
                <w:sz w:val="22"/>
                <w:szCs w:val="22"/>
              </w:rPr>
              <w:t>will not pay more than 30% of their income on rent</w:t>
            </w:r>
            <w:r w:rsidR="00B46B8D">
              <w:rPr>
                <w:sz w:val="22"/>
                <w:szCs w:val="22"/>
              </w:rPr>
              <w:t xml:space="preserve"> and utilities</w:t>
            </w:r>
            <w:r>
              <w:rPr>
                <w:sz w:val="22"/>
                <w:szCs w:val="22"/>
              </w:rPr>
              <w:t xml:space="preserve">. </w:t>
            </w:r>
          </w:p>
        </w:tc>
        <w:tc>
          <w:tcPr>
            <w:tcW w:w="1276" w:type="dxa"/>
            <w:tcBorders>
              <w:top w:val="single" w:sz="12" w:space="0" w:color="auto"/>
              <w:bottom w:val="single" w:sz="12" w:space="0" w:color="auto"/>
              <w:right w:val="single" w:sz="12" w:space="0" w:color="auto"/>
            </w:tcBorders>
          </w:tcPr>
          <w:p w14:paraId="5AB4C8AF" w14:textId="1D03AB5D" w:rsidR="00A0075F" w:rsidRPr="00030C26" w:rsidRDefault="00B46B8D" w:rsidP="00983602">
            <w:pPr>
              <w:pStyle w:val="Footer"/>
              <w:tabs>
                <w:tab w:val="clear" w:pos="4320"/>
                <w:tab w:val="clear" w:pos="8640"/>
                <w:tab w:val="left" w:pos="7650"/>
              </w:tabs>
              <w:spacing w:before="120" w:after="120"/>
              <w:jc w:val="right"/>
              <w:rPr>
                <w:sz w:val="22"/>
                <w:szCs w:val="22"/>
              </w:rPr>
            </w:pPr>
            <w:r>
              <w:rPr>
                <w:sz w:val="22"/>
                <w:szCs w:val="22"/>
              </w:rPr>
              <w:t xml:space="preserve">Up to </w:t>
            </w:r>
            <w:r w:rsidR="00983602">
              <w:rPr>
                <w:sz w:val="22"/>
                <w:szCs w:val="22"/>
              </w:rPr>
              <w:t>5</w:t>
            </w:r>
            <w:r>
              <w:rPr>
                <w:sz w:val="22"/>
                <w:szCs w:val="22"/>
              </w:rPr>
              <w:t xml:space="preserve"> points</w:t>
            </w:r>
          </w:p>
        </w:tc>
      </w:tr>
      <w:tr w:rsidR="00983602" w14:paraId="75BA422A" w14:textId="77777777" w:rsidTr="00556220">
        <w:tc>
          <w:tcPr>
            <w:tcW w:w="357" w:type="dxa"/>
            <w:vMerge w:val="restart"/>
            <w:tcBorders>
              <w:top w:val="single" w:sz="12" w:space="0" w:color="auto"/>
              <w:left w:val="single" w:sz="12" w:space="0" w:color="auto"/>
              <w:bottom w:val="single" w:sz="12" w:space="0" w:color="auto"/>
              <w:right w:val="nil"/>
            </w:tcBorders>
          </w:tcPr>
          <w:p w14:paraId="11EEA1B0" w14:textId="77777777" w:rsidR="00983602" w:rsidRPr="00030C26" w:rsidRDefault="00983602" w:rsidP="00B467A5">
            <w:pPr>
              <w:pStyle w:val="Footer"/>
              <w:tabs>
                <w:tab w:val="clear" w:pos="4320"/>
                <w:tab w:val="clear" w:pos="8640"/>
                <w:tab w:val="left" w:pos="7650"/>
              </w:tabs>
              <w:spacing w:before="120" w:after="120"/>
              <w:rPr>
                <w:sz w:val="22"/>
                <w:szCs w:val="22"/>
              </w:rPr>
            </w:pPr>
          </w:p>
        </w:tc>
        <w:tc>
          <w:tcPr>
            <w:tcW w:w="3005" w:type="dxa"/>
            <w:vMerge w:val="restart"/>
            <w:tcBorders>
              <w:top w:val="single" w:sz="12" w:space="0" w:color="auto"/>
              <w:left w:val="nil"/>
              <w:bottom w:val="single" w:sz="12" w:space="0" w:color="auto"/>
            </w:tcBorders>
          </w:tcPr>
          <w:p w14:paraId="0ABD9DE7" w14:textId="2BDC6B97" w:rsidR="00983602" w:rsidRDefault="002B0294" w:rsidP="002B0294">
            <w:pPr>
              <w:pStyle w:val="Footer"/>
              <w:numPr>
                <w:ilvl w:val="0"/>
                <w:numId w:val="21"/>
              </w:numPr>
              <w:tabs>
                <w:tab w:val="clear" w:pos="4320"/>
                <w:tab w:val="clear" w:pos="8640"/>
                <w:tab w:val="left" w:pos="7650"/>
              </w:tabs>
              <w:spacing w:before="120" w:after="120"/>
              <w:ind w:left="335"/>
              <w:rPr>
                <w:sz w:val="22"/>
                <w:szCs w:val="22"/>
              </w:rPr>
            </w:pPr>
            <w:r>
              <w:rPr>
                <w:sz w:val="22"/>
                <w:szCs w:val="22"/>
              </w:rPr>
              <w:t xml:space="preserve">Match </w:t>
            </w:r>
            <w:r w:rsidR="00983602">
              <w:rPr>
                <w:sz w:val="22"/>
                <w:szCs w:val="22"/>
              </w:rPr>
              <w:t xml:space="preserve">– Up to </w:t>
            </w:r>
            <w:r w:rsidR="00592B70">
              <w:rPr>
                <w:sz w:val="22"/>
                <w:szCs w:val="22"/>
              </w:rPr>
              <w:t>3</w:t>
            </w:r>
            <w:r w:rsidR="00983602">
              <w:rPr>
                <w:sz w:val="22"/>
                <w:szCs w:val="22"/>
              </w:rPr>
              <w:t xml:space="preserve"> points</w:t>
            </w:r>
          </w:p>
        </w:tc>
        <w:tc>
          <w:tcPr>
            <w:tcW w:w="5532" w:type="dxa"/>
            <w:tcBorders>
              <w:top w:val="single" w:sz="12" w:space="0" w:color="auto"/>
            </w:tcBorders>
          </w:tcPr>
          <w:p w14:paraId="275F6CE7" w14:textId="49055F70" w:rsidR="00983602" w:rsidRDefault="00CA41F2" w:rsidP="005D09A1">
            <w:pPr>
              <w:pStyle w:val="Footer"/>
              <w:tabs>
                <w:tab w:val="clear" w:pos="4320"/>
                <w:tab w:val="clear" w:pos="8640"/>
                <w:tab w:val="left" w:pos="7650"/>
              </w:tabs>
              <w:spacing w:before="120" w:after="120"/>
              <w:rPr>
                <w:sz w:val="22"/>
                <w:szCs w:val="22"/>
              </w:rPr>
            </w:pPr>
            <w:r>
              <w:rPr>
                <w:sz w:val="22"/>
                <w:szCs w:val="22"/>
              </w:rPr>
              <w:t>The application demonstrates f</w:t>
            </w:r>
            <w:r w:rsidR="00983602">
              <w:rPr>
                <w:sz w:val="22"/>
                <w:szCs w:val="22"/>
              </w:rPr>
              <w:t>irm commitments of match</w:t>
            </w:r>
            <w:r>
              <w:rPr>
                <w:sz w:val="22"/>
                <w:szCs w:val="22"/>
              </w:rPr>
              <w:t xml:space="preserve"> greater than or equal to </w:t>
            </w:r>
            <w:r w:rsidR="005D09A1">
              <w:rPr>
                <w:sz w:val="22"/>
                <w:szCs w:val="22"/>
              </w:rPr>
              <w:t>2</w:t>
            </w:r>
            <w:r w:rsidR="00105A65">
              <w:rPr>
                <w:sz w:val="22"/>
                <w:szCs w:val="22"/>
              </w:rPr>
              <w:t>5</w:t>
            </w:r>
            <w:r>
              <w:rPr>
                <w:sz w:val="22"/>
                <w:szCs w:val="22"/>
              </w:rPr>
              <w:t>.0% of the CHI-2 grant request.</w:t>
            </w:r>
          </w:p>
        </w:tc>
        <w:tc>
          <w:tcPr>
            <w:tcW w:w="1276" w:type="dxa"/>
            <w:tcBorders>
              <w:top w:val="single" w:sz="12" w:space="0" w:color="auto"/>
              <w:right w:val="single" w:sz="12" w:space="0" w:color="auto"/>
            </w:tcBorders>
          </w:tcPr>
          <w:p w14:paraId="12E1A66C" w14:textId="0601181A" w:rsidR="00983602" w:rsidRPr="00030C26" w:rsidRDefault="005D09A1" w:rsidP="00030C26">
            <w:pPr>
              <w:pStyle w:val="Footer"/>
              <w:tabs>
                <w:tab w:val="clear" w:pos="4320"/>
                <w:tab w:val="clear" w:pos="8640"/>
                <w:tab w:val="left" w:pos="7650"/>
              </w:tabs>
              <w:spacing w:before="120" w:after="120"/>
              <w:jc w:val="right"/>
              <w:rPr>
                <w:sz w:val="22"/>
                <w:szCs w:val="22"/>
              </w:rPr>
            </w:pPr>
            <w:r>
              <w:rPr>
                <w:sz w:val="22"/>
                <w:szCs w:val="22"/>
              </w:rPr>
              <w:t>3</w:t>
            </w:r>
            <w:r w:rsidR="00983602">
              <w:rPr>
                <w:sz w:val="22"/>
                <w:szCs w:val="22"/>
              </w:rPr>
              <w:t xml:space="preserve"> points</w:t>
            </w:r>
          </w:p>
        </w:tc>
      </w:tr>
      <w:tr w:rsidR="00983602" w14:paraId="7C50F0A2" w14:textId="77777777" w:rsidTr="005D09A1">
        <w:tc>
          <w:tcPr>
            <w:tcW w:w="357" w:type="dxa"/>
            <w:vMerge/>
            <w:tcBorders>
              <w:top w:val="nil"/>
              <w:left w:val="single" w:sz="12" w:space="0" w:color="auto"/>
              <w:bottom w:val="single" w:sz="12" w:space="0" w:color="auto"/>
              <w:right w:val="nil"/>
            </w:tcBorders>
          </w:tcPr>
          <w:p w14:paraId="65A89F9D" w14:textId="77777777" w:rsidR="00983602" w:rsidRPr="00030C26" w:rsidRDefault="00983602" w:rsidP="00B467A5">
            <w:pPr>
              <w:pStyle w:val="Footer"/>
              <w:tabs>
                <w:tab w:val="clear" w:pos="4320"/>
                <w:tab w:val="clear" w:pos="8640"/>
                <w:tab w:val="left" w:pos="7650"/>
              </w:tabs>
              <w:spacing w:before="120" w:after="120"/>
              <w:rPr>
                <w:sz w:val="22"/>
                <w:szCs w:val="22"/>
              </w:rPr>
            </w:pPr>
          </w:p>
        </w:tc>
        <w:tc>
          <w:tcPr>
            <w:tcW w:w="3005" w:type="dxa"/>
            <w:vMerge/>
            <w:tcBorders>
              <w:top w:val="nil"/>
              <w:left w:val="nil"/>
              <w:bottom w:val="single" w:sz="12" w:space="0" w:color="auto"/>
            </w:tcBorders>
          </w:tcPr>
          <w:p w14:paraId="11003051" w14:textId="77777777" w:rsidR="00983602" w:rsidRDefault="00983602" w:rsidP="003709A8">
            <w:pPr>
              <w:pStyle w:val="Footer"/>
              <w:tabs>
                <w:tab w:val="clear" w:pos="4320"/>
                <w:tab w:val="clear" w:pos="8640"/>
                <w:tab w:val="left" w:pos="7650"/>
              </w:tabs>
              <w:spacing w:before="120" w:after="120"/>
              <w:ind w:left="335"/>
              <w:rPr>
                <w:sz w:val="22"/>
                <w:szCs w:val="22"/>
              </w:rPr>
            </w:pPr>
          </w:p>
        </w:tc>
        <w:tc>
          <w:tcPr>
            <w:tcW w:w="5532" w:type="dxa"/>
            <w:tcBorders>
              <w:bottom w:val="single" w:sz="4" w:space="0" w:color="auto"/>
            </w:tcBorders>
          </w:tcPr>
          <w:p w14:paraId="4F4A4494" w14:textId="28BFE638" w:rsidR="00983602" w:rsidRDefault="00CA41F2" w:rsidP="005D09A1">
            <w:pPr>
              <w:pStyle w:val="Footer"/>
              <w:tabs>
                <w:tab w:val="clear" w:pos="4320"/>
                <w:tab w:val="clear" w:pos="8640"/>
                <w:tab w:val="left" w:pos="7650"/>
              </w:tabs>
              <w:spacing w:before="120" w:after="120"/>
              <w:rPr>
                <w:sz w:val="22"/>
                <w:szCs w:val="22"/>
              </w:rPr>
            </w:pPr>
            <w:r>
              <w:rPr>
                <w:sz w:val="22"/>
                <w:szCs w:val="22"/>
              </w:rPr>
              <w:t>The application demonstrates f</w:t>
            </w:r>
            <w:r w:rsidR="00983602">
              <w:rPr>
                <w:sz w:val="22"/>
                <w:szCs w:val="22"/>
              </w:rPr>
              <w:t xml:space="preserve">irm commitments of match between </w:t>
            </w:r>
            <w:r w:rsidR="005D09A1">
              <w:rPr>
                <w:sz w:val="22"/>
                <w:szCs w:val="22"/>
              </w:rPr>
              <w:t>1</w:t>
            </w:r>
            <w:r w:rsidR="00105A65">
              <w:rPr>
                <w:sz w:val="22"/>
                <w:szCs w:val="22"/>
              </w:rPr>
              <w:t>5</w:t>
            </w:r>
            <w:r w:rsidR="00983602">
              <w:rPr>
                <w:sz w:val="22"/>
                <w:szCs w:val="22"/>
              </w:rPr>
              <w:t xml:space="preserve">.0% - </w:t>
            </w:r>
            <w:r w:rsidR="005D09A1">
              <w:rPr>
                <w:sz w:val="22"/>
                <w:szCs w:val="22"/>
              </w:rPr>
              <w:t>2</w:t>
            </w:r>
            <w:r w:rsidR="00105A65">
              <w:rPr>
                <w:sz w:val="22"/>
                <w:szCs w:val="22"/>
              </w:rPr>
              <w:t>4</w:t>
            </w:r>
            <w:r>
              <w:rPr>
                <w:sz w:val="22"/>
                <w:szCs w:val="22"/>
              </w:rPr>
              <w:t>.99% of the CHI-2 grant request.</w:t>
            </w:r>
          </w:p>
        </w:tc>
        <w:tc>
          <w:tcPr>
            <w:tcW w:w="1276" w:type="dxa"/>
            <w:tcBorders>
              <w:bottom w:val="single" w:sz="4" w:space="0" w:color="auto"/>
              <w:right w:val="single" w:sz="12" w:space="0" w:color="auto"/>
            </w:tcBorders>
          </w:tcPr>
          <w:p w14:paraId="6F35C199" w14:textId="5D764462" w:rsidR="00983602" w:rsidRPr="00030C26" w:rsidRDefault="005D09A1" w:rsidP="00030C26">
            <w:pPr>
              <w:pStyle w:val="Footer"/>
              <w:tabs>
                <w:tab w:val="clear" w:pos="4320"/>
                <w:tab w:val="clear" w:pos="8640"/>
                <w:tab w:val="left" w:pos="7650"/>
              </w:tabs>
              <w:spacing w:before="120" w:after="120"/>
              <w:jc w:val="right"/>
              <w:rPr>
                <w:sz w:val="22"/>
                <w:szCs w:val="22"/>
              </w:rPr>
            </w:pPr>
            <w:r>
              <w:rPr>
                <w:sz w:val="22"/>
                <w:szCs w:val="22"/>
              </w:rPr>
              <w:t>2</w:t>
            </w:r>
            <w:r w:rsidR="00983602">
              <w:rPr>
                <w:sz w:val="22"/>
                <w:szCs w:val="22"/>
              </w:rPr>
              <w:t xml:space="preserve"> points</w:t>
            </w:r>
          </w:p>
        </w:tc>
      </w:tr>
      <w:tr w:rsidR="00983602" w14:paraId="679EA76B" w14:textId="77777777" w:rsidTr="005D09A1">
        <w:tc>
          <w:tcPr>
            <w:tcW w:w="357" w:type="dxa"/>
            <w:vMerge/>
            <w:tcBorders>
              <w:top w:val="nil"/>
              <w:left w:val="single" w:sz="12" w:space="0" w:color="auto"/>
              <w:bottom w:val="single" w:sz="12" w:space="0" w:color="auto"/>
              <w:right w:val="nil"/>
            </w:tcBorders>
          </w:tcPr>
          <w:p w14:paraId="331155AE" w14:textId="77777777" w:rsidR="00983602" w:rsidRPr="00030C26" w:rsidRDefault="00983602" w:rsidP="00B467A5">
            <w:pPr>
              <w:pStyle w:val="Footer"/>
              <w:tabs>
                <w:tab w:val="clear" w:pos="4320"/>
                <w:tab w:val="clear" w:pos="8640"/>
                <w:tab w:val="left" w:pos="7650"/>
              </w:tabs>
              <w:spacing w:before="120" w:after="120"/>
              <w:rPr>
                <w:sz w:val="22"/>
                <w:szCs w:val="22"/>
              </w:rPr>
            </w:pPr>
          </w:p>
        </w:tc>
        <w:tc>
          <w:tcPr>
            <w:tcW w:w="3005" w:type="dxa"/>
            <w:vMerge/>
            <w:tcBorders>
              <w:top w:val="nil"/>
              <w:left w:val="nil"/>
              <w:bottom w:val="single" w:sz="12" w:space="0" w:color="auto"/>
            </w:tcBorders>
          </w:tcPr>
          <w:p w14:paraId="3B10CD27" w14:textId="77777777" w:rsidR="00983602" w:rsidRDefault="00983602" w:rsidP="003709A8">
            <w:pPr>
              <w:pStyle w:val="Footer"/>
              <w:tabs>
                <w:tab w:val="clear" w:pos="4320"/>
                <w:tab w:val="clear" w:pos="8640"/>
                <w:tab w:val="left" w:pos="7650"/>
              </w:tabs>
              <w:spacing w:before="120" w:after="120"/>
              <w:ind w:left="335"/>
              <w:rPr>
                <w:sz w:val="22"/>
                <w:szCs w:val="22"/>
              </w:rPr>
            </w:pPr>
          </w:p>
        </w:tc>
        <w:tc>
          <w:tcPr>
            <w:tcW w:w="5532" w:type="dxa"/>
            <w:tcBorders>
              <w:bottom w:val="single" w:sz="12" w:space="0" w:color="auto"/>
            </w:tcBorders>
          </w:tcPr>
          <w:p w14:paraId="0E9B1BF3" w14:textId="341532DC" w:rsidR="00983602" w:rsidRDefault="00CA41F2" w:rsidP="005D09A1">
            <w:pPr>
              <w:pStyle w:val="Footer"/>
              <w:tabs>
                <w:tab w:val="clear" w:pos="4320"/>
                <w:tab w:val="clear" w:pos="8640"/>
                <w:tab w:val="left" w:pos="7650"/>
              </w:tabs>
              <w:spacing w:before="120" w:after="120"/>
              <w:rPr>
                <w:sz w:val="22"/>
                <w:szCs w:val="22"/>
              </w:rPr>
            </w:pPr>
            <w:r>
              <w:rPr>
                <w:sz w:val="22"/>
                <w:szCs w:val="22"/>
              </w:rPr>
              <w:t>The application demonstrates f</w:t>
            </w:r>
            <w:r w:rsidR="00983602">
              <w:rPr>
                <w:sz w:val="22"/>
                <w:szCs w:val="22"/>
              </w:rPr>
              <w:t xml:space="preserve">irm commitments of match between </w:t>
            </w:r>
            <w:r w:rsidR="00105A65">
              <w:rPr>
                <w:sz w:val="22"/>
                <w:szCs w:val="22"/>
              </w:rPr>
              <w:t>5</w:t>
            </w:r>
            <w:r w:rsidR="00983602">
              <w:rPr>
                <w:sz w:val="22"/>
                <w:szCs w:val="22"/>
              </w:rPr>
              <w:t xml:space="preserve">.0% - </w:t>
            </w:r>
            <w:r w:rsidR="005D09A1">
              <w:rPr>
                <w:sz w:val="22"/>
                <w:szCs w:val="22"/>
              </w:rPr>
              <w:t>1</w:t>
            </w:r>
            <w:r w:rsidR="00105A65">
              <w:rPr>
                <w:sz w:val="22"/>
                <w:szCs w:val="22"/>
              </w:rPr>
              <w:t>4</w:t>
            </w:r>
            <w:r>
              <w:rPr>
                <w:sz w:val="22"/>
                <w:szCs w:val="22"/>
              </w:rPr>
              <w:t>.99% of the CHI-2 grant request.</w:t>
            </w:r>
          </w:p>
        </w:tc>
        <w:tc>
          <w:tcPr>
            <w:tcW w:w="1276" w:type="dxa"/>
            <w:tcBorders>
              <w:bottom w:val="single" w:sz="12" w:space="0" w:color="auto"/>
              <w:right w:val="single" w:sz="12" w:space="0" w:color="auto"/>
            </w:tcBorders>
          </w:tcPr>
          <w:p w14:paraId="6F8BF764" w14:textId="50EBCE23" w:rsidR="00983602" w:rsidRPr="00030C26" w:rsidRDefault="005D09A1" w:rsidP="005D09A1">
            <w:pPr>
              <w:pStyle w:val="Footer"/>
              <w:tabs>
                <w:tab w:val="clear" w:pos="4320"/>
                <w:tab w:val="clear" w:pos="8640"/>
                <w:tab w:val="left" w:pos="7650"/>
              </w:tabs>
              <w:spacing w:before="120" w:after="120"/>
              <w:jc w:val="right"/>
              <w:rPr>
                <w:sz w:val="22"/>
                <w:szCs w:val="22"/>
              </w:rPr>
            </w:pPr>
            <w:r>
              <w:rPr>
                <w:sz w:val="22"/>
                <w:szCs w:val="22"/>
              </w:rPr>
              <w:t>1</w:t>
            </w:r>
            <w:r w:rsidR="00983602">
              <w:rPr>
                <w:sz w:val="22"/>
                <w:szCs w:val="22"/>
              </w:rPr>
              <w:t xml:space="preserve"> point</w:t>
            </w:r>
          </w:p>
        </w:tc>
      </w:tr>
      <w:tr w:rsidR="00983602" w14:paraId="256B38ED" w14:textId="77777777" w:rsidTr="005D09A1">
        <w:trPr>
          <w:trHeight w:val="7276"/>
        </w:trPr>
        <w:tc>
          <w:tcPr>
            <w:tcW w:w="357" w:type="dxa"/>
            <w:tcBorders>
              <w:top w:val="single" w:sz="12" w:space="0" w:color="auto"/>
              <w:left w:val="single" w:sz="12" w:space="0" w:color="auto"/>
              <w:bottom w:val="single" w:sz="12" w:space="0" w:color="auto"/>
              <w:right w:val="nil"/>
            </w:tcBorders>
          </w:tcPr>
          <w:p w14:paraId="11E4D003" w14:textId="77777777" w:rsidR="00983602" w:rsidRPr="00030C26" w:rsidRDefault="00983602"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0EEC9185" w14:textId="43DE7E60" w:rsidR="00983602" w:rsidRPr="00030C26" w:rsidRDefault="00983602" w:rsidP="002610FF">
            <w:pPr>
              <w:pStyle w:val="Footer"/>
              <w:numPr>
                <w:ilvl w:val="0"/>
                <w:numId w:val="21"/>
              </w:numPr>
              <w:tabs>
                <w:tab w:val="clear" w:pos="4320"/>
                <w:tab w:val="clear" w:pos="8640"/>
                <w:tab w:val="left" w:pos="7650"/>
              </w:tabs>
              <w:spacing w:before="120" w:after="120"/>
              <w:ind w:left="335"/>
              <w:rPr>
                <w:sz w:val="22"/>
                <w:szCs w:val="22"/>
              </w:rPr>
            </w:pPr>
            <w:r>
              <w:rPr>
                <w:sz w:val="22"/>
                <w:szCs w:val="22"/>
              </w:rPr>
              <w:t xml:space="preserve">Universal Design – Up to </w:t>
            </w:r>
            <w:r w:rsidR="002610FF">
              <w:rPr>
                <w:sz w:val="22"/>
                <w:szCs w:val="22"/>
              </w:rPr>
              <w:t>4</w:t>
            </w:r>
            <w:r>
              <w:rPr>
                <w:sz w:val="22"/>
                <w:szCs w:val="22"/>
              </w:rPr>
              <w:t xml:space="preserve"> points</w:t>
            </w:r>
          </w:p>
        </w:tc>
        <w:tc>
          <w:tcPr>
            <w:tcW w:w="5532" w:type="dxa"/>
            <w:tcBorders>
              <w:top w:val="single" w:sz="12" w:space="0" w:color="auto"/>
              <w:bottom w:val="single" w:sz="12" w:space="0" w:color="auto"/>
            </w:tcBorders>
          </w:tcPr>
          <w:p w14:paraId="47E22DD1" w14:textId="2CD33546" w:rsidR="00983602" w:rsidRPr="00BC1435" w:rsidRDefault="00983602" w:rsidP="00BC1435">
            <w:pPr>
              <w:pStyle w:val="Footer"/>
              <w:tabs>
                <w:tab w:val="clear" w:pos="4320"/>
                <w:tab w:val="clear" w:pos="8640"/>
                <w:tab w:val="left" w:pos="7650"/>
              </w:tabs>
              <w:spacing w:before="120" w:after="120"/>
              <w:rPr>
                <w:sz w:val="22"/>
                <w:szCs w:val="22"/>
              </w:rPr>
            </w:pPr>
            <w:r w:rsidRPr="00E96686">
              <w:rPr>
                <w:sz w:val="22"/>
                <w:szCs w:val="22"/>
              </w:rPr>
              <w:t>The unit includes universal design feat</w:t>
            </w:r>
            <w:r w:rsidR="00BC1435">
              <w:rPr>
                <w:sz w:val="22"/>
                <w:szCs w:val="22"/>
              </w:rPr>
              <w:t>ures associated with each unit.</w:t>
            </w:r>
            <w:r w:rsidRPr="00E96686">
              <w:rPr>
                <w:sz w:val="22"/>
                <w:szCs w:val="22"/>
              </w:rPr>
              <w:t xml:space="preserve"> </w:t>
            </w:r>
            <w:r w:rsidR="00BC1435">
              <w:rPr>
                <w:sz w:val="22"/>
                <w:szCs w:val="22"/>
              </w:rPr>
              <w:t>THDA will award p</w:t>
            </w:r>
            <w:r w:rsidR="00BC1435">
              <w:rPr>
                <w:color w:val="000000"/>
                <w:sz w:val="22"/>
                <w:szCs w:val="22"/>
              </w:rPr>
              <w:t>oints</w:t>
            </w:r>
            <w:r w:rsidRPr="00E96686">
              <w:rPr>
                <w:color w:val="000000"/>
                <w:sz w:val="22"/>
                <w:szCs w:val="22"/>
              </w:rPr>
              <w:t xml:space="preserve"> </w:t>
            </w:r>
            <w:r w:rsidR="00BC1435">
              <w:rPr>
                <w:color w:val="000000"/>
                <w:sz w:val="22"/>
                <w:szCs w:val="22"/>
              </w:rPr>
              <w:t>for the characteristics noted</w:t>
            </w:r>
            <w:r w:rsidRPr="00E96686">
              <w:rPr>
                <w:color w:val="000000"/>
                <w:sz w:val="22"/>
                <w:szCs w:val="22"/>
              </w:rPr>
              <w:t xml:space="preserve"> below. Item “a” is worth (</w:t>
            </w:r>
            <w:r w:rsidR="002610FF">
              <w:rPr>
                <w:color w:val="000000"/>
                <w:sz w:val="22"/>
                <w:szCs w:val="22"/>
              </w:rPr>
              <w:t>3</w:t>
            </w:r>
            <w:r w:rsidRPr="00E96686">
              <w:rPr>
                <w:color w:val="000000"/>
                <w:sz w:val="22"/>
                <w:szCs w:val="22"/>
              </w:rPr>
              <w:t>) points. All other items are worth (1) point each. The maximum number of poin</w:t>
            </w:r>
            <w:r w:rsidR="00BC1435">
              <w:rPr>
                <w:color w:val="000000"/>
                <w:sz w:val="22"/>
                <w:szCs w:val="22"/>
              </w:rPr>
              <w:t xml:space="preserve">ts </w:t>
            </w:r>
            <w:r w:rsidRPr="00E96686">
              <w:rPr>
                <w:color w:val="000000"/>
                <w:sz w:val="22"/>
                <w:szCs w:val="22"/>
              </w:rPr>
              <w:t xml:space="preserve">under this category is </w:t>
            </w:r>
            <w:r w:rsidR="002610FF">
              <w:rPr>
                <w:color w:val="000000"/>
                <w:sz w:val="22"/>
                <w:szCs w:val="22"/>
              </w:rPr>
              <w:t>4</w:t>
            </w:r>
            <w:r w:rsidRPr="00E96686">
              <w:rPr>
                <w:color w:val="000000"/>
                <w:sz w:val="22"/>
                <w:szCs w:val="22"/>
              </w:rPr>
              <w:t xml:space="preserve">. </w:t>
            </w:r>
          </w:p>
          <w:p w14:paraId="4B049540" w14:textId="77777777" w:rsidR="00983602" w:rsidRPr="00E96686" w:rsidRDefault="00983602" w:rsidP="00BC1435">
            <w:pPr>
              <w:numPr>
                <w:ilvl w:val="0"/>
                <w:numId w:val="25"/>
              </w:numPr>
              <w:ind w:left="383" w:right="63" w:hanging="360"/>
              <w:rPr>
                <w:sz w:val="22"/>
                <w:szCs w:val="22"/>
              </w:rPr>
            </w:pPr>
            <w:r w:rsidRPr="00E96686">
              <w:rPr>
                <w:sz w:val="22"/>
                <w:szCs w:val="22"/>
              </w:rPr>
              <w:t>One entrance door that is on an accessible route served by a ramp or no-step entrance and which also has a 36” door.</w:t>
            </w:r>
          </w:p>
          <w:p w14:paraId="09DE886D" w14:textId="4CF6E41D" w:rsidR="00983602" w:rsidRPr="00E96686" w:rsidRDefault="00983602" w:rsidP="00BC1435">
            <w:pPr>
              <w:numPr>
                <w:ilvl w:val="0"/>
                <w:numId w:val="25"/>
              </w:numPr>
              <w:ind w:left="383" w:right="63" w:hanging="360"/>
              <w:rPr>
                <w:sz w:val="22"/>
                <w:szCs w:val="22"/>
              </w:rPr>
            </w:pPr>
            <w:r w:rsidRPr="00E96686">
              <w:rPr>
                <w:sz w:val="22"/>
                <w:szCs w:val="22"/>
              </w:rPr>
              <w:t xml:space="preserve">All </w:t>
            </w:r>
            <w:r>
              <w:rPr>
                <w:sz w:val="22"/>
                <w:szCs w:val="22"/>
              </w:rPr>
              <w:t>i</w:t>
            </w:r>
            <w:r w:rsidRPr="00E96686">
              <w:rPr>
                <w:sz w:val="22"/>
                <w:szCs w:val="22"/>
              </w:rPr>
              <w:t xml:space="preserve">nterior </w:t>
            </w:r>
            <w:r>
              <w:rPr>
                <w:sz w:val="22"/>
                <w:szCs w:val="22"/>
              </w:rPr>
              <w:t>d</w:t>
            </w:r>
            <w:r w:rsidRPr="00E96686">
              <w:rPr>
                <w:sz w:val="22"/>
                <w:szCs w:val="22"/>
              </w:rPr>
              <w:t xml:space="preserve">oors </w:t>
            </w:r>
            <w:r>
              <w:rPr>
                <w:sz w:val="22"/>
                <w:szCs w:val="22"/>
              </w:rPr>
              <w:t xml:space="preserve">have </w:t>
            </w:r>
            <w:r w:rsidRPr="00E96686">
              <w:rPr>
                <w:sz w:val="22"/>
                <w:szCs w:val="22"/>
              </w:rPr>
              <w:t xml:space="preserve">a minimum of 32 inches of clear passage space except closets of less than 15 square feet. </w:t>
            </w:r>
          </w:p>
          <w:p w14:paraId="39247EB6" w14:textId="77777777" w:rsidR="00983602" w:rsidRPr="00E96686" w:rsidRDefault="00983602" w:rsidP="00BC1435">
            <w:pPr>
              <w:numPr>
                <w:ilvl w:val="0"/>
                <w:numId w:val="25"/>
              </w:numPr>
              <w:ind w:left="383" w:right="63" w:hanging="360"/>
              <w:rPr>
                <w:sz w:val="22"/>
                <w:szCs w:val="22"/>
              </w:rPr>
            </w:pPr>
            <w:r w:rsidRPr="00E96686">
              <w:rPr>
                <w:sz w:val="22"/>
                <w:szCs w:val="22"/>
              </w:rPr>
              <w:t>All hallways have a clear passage of at least 36 inches, is level with ramped or beveled changes at each threshold.</w:t>
            </w:r>
          </w:p>
          <w:p w14:paraId="481DE009" w14:textId="77777777" w:rsidR="00983602" w:rsidRPr="00E96686" w:rsidRDefault="00983602" w:rsidP="00BC1435">
            <w:pPr>
              <w:numPr>
                <w:ilvl w:val="0"/>
                <w:numId w:val="25"/>
              </w:numPr>
              <w:ind w:left="383" w:right="63" w:hanging="360"/>
              <w:rPr>
                <w:sz w:val="22"/>
                <w:szCs w:val="22"/>
              </w:rPr>
            </w:pPr>
            <w:r w:rsidRPr="00E96686">
              <w:rPr>
                <w:sz w:val="22"/>
                <w:szCs w:val="22"/>
              </w:rPr>
              <w:t>Each electrical panel, breaker box, light switch or thermostat is no higher than 48 inches above the floor.</w:t>
            </w:r>
          </w:p>
          <w:p w14:paraId="3D28A3E5" w14:textId="77777777" w:rsidR="00983602" w:rsidRPr="00E96686" w:rsidRDefault="00983602" w:rsidP="00BC1435">
            <w:pPr>
              <w:numPr>
                <w:ilvl w:val="0"/>
                <w:numId w:val="25"/>
              </w:numPr>
              <w:ind w:left="383" w:right="63" w:hanging="360"/>
              <w:rPr>
                <w:sz w:val="22"/>
                <w:szCs w:val="22"/>
              </w:rPr>
            </w:pPr>
            <w:r w:rsidRPr="00E96686">
              <w:rPr>
                <w:sz w:val="22"/>
                <w:szCs w:val="22"/>
              </w:rPr>
              <w:t>Each electrical plug or receptacle is at least 15” above the floor.</w:t>
            </w:r>
          </w:p>
          <w:p w14:paraId="5B244DE0" w14:textId="77777777" w:rsidR="00983602" w:rsidRPr="00E96686" w:rsidRDefault="00983602" w:rsidP="00BC1435">
            <w:pPr>
              <w:numPr>
                <w:ilvl w:val="0"/>
                <w:numId w:val="25"/>
              </w:numPr>
              <w:ind w:left="383" w:right="63" w:hanging="360"/>
              <w:rPr>
                <w:sz w:val="22"/>
                <w:szCs w:val="22"/>
              </w:rPr>
            </w:pPr>
            <w:r w:rsidRPr="00E96686">
              <w:rPr>
                <w:sz w:val="22"/>
                <w:szCs w:val="22"/>
              </w:rPr>
              <w:t xml:space="preserve">Minimum 5’ x 5’ level clear space inside and outside entry door. </w:t>
            </w:r>
          </w:p>
          <w:p w14:paraId="1ACC615F" w14:textId="77777777" w:rsidR="00983602" w:rsidRPr="00E96686" w:rsidRDefault="00983602" w:rsidP="00BC1435">
            <w:pPr>
              <w:numPr>
                <w:ilvl w:val="0"/>
                <w:numId w:val="25"/>
              </w:numPr>
              <w:ind w:left="383" w:right="63" w:hanging="360"/>
              <w:rPr>
                <w:sz w:val="22"/>
                <w:szCs w:val="22"/>
              </w:rPr>
            </w:pPr>
            <w:r w:rsidRPr="00E96686">
              <w:rPr>
                <w:sz w:val="22"/>
                <w:szCs w:val="22"/>
              </w:rPr>
              <w:t>Broad blocking in walls around each toilet, tub and shower for future placement of grab bars.</w:t>
            </w:r>
          </w:p>
          <w:p w14:paraId="2DC02891" w14:textId="77777777" w:rsidR="00983602" w:rsidRPr="00E96686" w:rsidRDefault="00983602" w:rsidP="00BC1435">
            <w:pPr>
              <w:numPr>
                <w:ilvl w:val="0"/>
                <w:numId w:val="25"/>
              </w:numPr>
              <w:ind w:left="383" w:right="63" w:hanging="360"/>
              <w:rPr>
                <w:sz w:val="22"/>
                <w:szCs w:val="22"/>
              </w:rPr>
            </w:pPr>
            <w:r w:rsidRPr="00E96686">
              <w:rPr>
                <w:sz w:val="22"/>
                <w:szCs w:val="22"/>
              </w:rPr>
              <w:t xml:space="preserve">Full-extension, pull-out drawers, shelves and racks in base cabinets in kitchen. </w:t>
            </w:r>
          </w:p>
          <w:p w14:paraId="3FE11F36" w14:textId="77777777" w:rsidR="00983602" w:rsidRPr="00E96686" w:rsidRDefault="00983602" w:rsidP="00BC1435">
            <w:pPr>
              <w:numPr>
                <w:ilvl w:val="0"/>
                <w:numId w:val="25"/>
              </w:numPr>
              <w:ind w:left="383" w:right="63" w:hanging="360"/>
              <w:rPr>
                <w:sz w:val="22"/>
                <w:szCs w:val="22"/>
              </w:rPr>
            </w:pPr>
            <w:r w:rsidRPr="00E96686">
              <w:rPr>
                <w:sz w:val="22"/>
                <w:szCs w:val="22"/>
              </w:rPr>
              <w:t xml:space="preserve">Front mounted controls on all appliances. </w:t>
            </w:r>
          </w:p>
          <w:p w14:paraId="3A7740F8" w14:textId="77777777" w:rsidR="00983602" w:rsidRPr="00E96686" w:rsidRDefault="00983602" w:rsidP="00BC1435">
            <w:pPr>
              <w:numPr>
                <w:ilvl w:val="0"/>
                <w:numId w:val="25"/>
              </w:numPr>
              <w:ind w:left="383" w:right="63" w:hanging="360"/>
              <w:rPr>
                <w:sz w:val="22"/>
                <w:szCs w:val="22"/>
              </w:rPr>
            </w:pPr>
            <w:r w:rsidRPr="00E96686">
              <w:rPr>
                <w:sz w:val="22"/>
                <w:szCs w:val="22"/>
              </w:rPr>
              <w:t>Lever door handles on all doors.</w:t>
            </w:r>
          </w:p>
          <w:p w14:paraId="0C044895" w14:textId="77777777" w:rsidR="00983602" w:rsidRPr="00E96686" w:rsidRDefault="00983602" w:rsidP="00BC1435">
            <w:pPr>
              <w:numPr>
                <w:ilvl w:val="0"/>
                <w:numId w:val="25"/>
              </w:numPr>
              <w:ind w:left="383" w:right="63" w:hanging="360"/>
              <w:rPr>
                <w:sz w:val="22"/>
                <w:szCs w:val="22"/>
              </w:rPr>
            </w:pPr>
            <w:r w:rsidRPr="00E96686">
              <w:rPr>
                <w:sz w:val="22"/>
                <w:szCs w:val="22"/>
              </w:rPr>
              <w:t xml:space="preserve">Loop handle pulls on drawers and cabinet doors. </w:t>
            </w:r>
          </w:p>
          <w:p w14:paraId="24975CBB" w14:textId="1F0069BF" w:rsidR="00983602" w:rsidRPr="00E96686" w:rsidRDefault="00983602" w:rsidP="00E96686">
            <w:pPr>
              <w:ind w:left="-63" w:right="63"/>
              <w:jc w:val="both"/>
              <w:rPr>
                <w:sz w:val="22"/>
                <w:szCs w:val="22"/>
              </w:rPr>
            </w:pPr>
          </w:p>
        </w:tc>
        <w:tc>
          <w:tcPr>
            <w:tcW w:w="1276" w:type="dxa"/>
            <w:tcBorders>
              <w:top w:val="single" w:sz="12" w:space="0" w:color="auto"/>
              <w:bottom w:val="single" w:sz="12" w:space="0" w:color="auto"/>
              <w:right w:val="single" w:sz="12" w:space="0" w:color="auto"/>
            </w:tcBorders>
          </w:tcPr>
          <w:p w14:paraId="5DCD3B5D" w14:textId="0F865963" w:rsidR="00983602" w:rsidRPr="00030C26" w:rsidRDefault="00983602" w:rsidP="002610FF">
            <w:pPr>
              <w:pStyle w:val="Footer"/>
              <w:tabs>
                <w:tab w:val="clear" w:pos="4320"/>
                <w:tab w:val="clear" w:pos="8640"/>
                <w:tab w:val="left" w:pos="7650"/>
              </w:tabs>
              <w:spacing w:before="120" w:after="120"/>
              <w:jc w:val="right"/>
              <w:rPr>
                <w:sz w:val="22"/>
                <w:szCs w:val="22"/>
              </w:rPr>
            </w:pPr>
            <w:r>
              <w:rPr>
                <w:sz w:val="22"/>
                <w:szCs w:val="22"/>
              </w:rPr>
              <w:t xml:space="preserve">Up to </w:t>
            </w:r>
            <w:r w:rsidR="002610FF">
              <w:rPr>
                <w:sz w:val="22"/>
                <w:szCs w:val="22"/>
              </w:rPr>
              <w:t>4</w:t>
            </w:r>
            <w:r>
              <w:rPr>
                <w:sz w:val="22"/>
                <w:szCs w:val="22"/>
              </w:rPr>
              <w:t xml:space="preserve"> points</w:t>
            </w:r>
          </w:p>
        </w:tc>
      </w:tr>
      <w:tr w:rsidR="00E96686" w14:paraId="4F729109" w14:textId="77777777" w:rsidTr="00E170F5">
        <w:tc>
          <w:tcPr>
            <w:tcW w:w="357" w:type="dxa"/>
            <w:tcBorders>
              <w:top w:val="single" w:sz="12" w:space="0" w:color="auto"/>
              <w:left w:val="single" w:sz="12" w:space="0" w:color="auto"/>
              <w:bottom w:val="single" w:sz="12" w:space="0" w:color="auto"/>
              <w:right w:val="nil"/>
            </w:tcBorders>
          </w:tcPr>
          <w:p w14:paraId="0236CEF8" w14:textId="77777777" w:rsidR="00E96686" w:rsidRPr="00030C26" w:rsidRDefault="00E96686"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4731A4F7" w14:textId="39CEEA27" w:rsidR="00E96686" w:rsidRPr="00030C26" w:rsidRDefault="00E96686" w:rsidP="00BF604B">
            <w:pPr>
              <w:pStyle w:val="Footer"/>
              <w:numPr>
                <w:ilvl w:val="0"/>
                <w:numId w:val="21"/>
              </w:numPr>
              <w:tabs>
                <w:tab w:val="clear" w:pos="4320"/>
                <w:tab w:val="clear" w:pos="8640"/>
                <w:tab w:val="left" w:pos="7650"/>
              </w:tabs>
              <w:spacing w:before="120" w:after="120"/>
              <w:ind w:left="332"/>
              <w:rPr>
                <w:sz w:val="22"/>
                <w:szCs w:val="22"/>
              </w:rPr>
            </w:pPr>
            <w:r>
              <w:rPr>
                <w:sz w:val="22"/>
                <w:szCs w:val="22"/>
              </w:rPr>
              <w:t>Support Services</w:t>
            </w:r>
            <w:r w:rsidR="00983602">
              <w:rPr>
                <w:sz w:val="22"/>
                <w:szCs w:val="22"/>
              </w:rPr>
              <w:t xml:space="preserve"> – Up to </w:t>
            </w:r>
            <w:r w:rsidR="007E32A4">
              <w:rPr>
                <w:sz w:val="22"/>
                <w:szCs w:val="22"/>
              </w:rPr>
              <w:t>1</w:t>
            </w:r>
            <w:r w:rsidR="00BF604B">
              <w:rPr>
                <w:sz w:val="22"/>
                <w:szCs w:val="22"/>
              </w:rPr>
              <w:t>0</w:t>
            </w:r>
            <w:r w:rsidR="00983602">
              <w:rPr>
                <w:sz w:val="22"/>
                <w:szCs w:val="22"/>
              </w:rPr>
              <w:t xml:space="preserve"> points</w:t>
            </w:r>
          </w:p>
        </w:tc>
        <w:tc>
          <w:tcPr>
            <w:tcW w:w="5532" w:type="dxa"/>
            <w:tcBorders>
              <w:top w:val="single" w:sz="12" w:space="0" w:color="auto"/>
              <w:bottom w:val="single" w:sz="12" w:space="0" w:color="auto"/>
            </w:tcBorders>
          </w:tcPr>
          <w:p w14:paraId="1CD83326" w14:textId="77777777" w:rsidR="007E32A4" w:rsidRDefault="00983602" w:rsidP="007E32A4">
            <w:pPr>
              <w:pStyle w:val="Footer"/>
              <w:tabs>
                <w:tab w:val="clear" w:pos="4320"/>
                <w:tab w:val="clear" w:pos="8640"/>
                <w:tab w:val="left" w:pos="7650"/>
              </w:tabs>
              <w:spacing w:before="120" w:after="120"/>
              <w:rPr>
                <w:sz w:val="22"/>
                <w:szCs w:val="22"/>
              </w:rPr>
            </w:pPr>
            <w:r>
              <w:rPr>
                <w:sz w:val="22"/>
                <w:szCs w:val="22"/>
              </w:rPr>
              <w:t xml:space="preserve">The application includes firm commitments demonstrated in the application that a range of support services will be available that will enable the tenant to meet </w:t>
            </w:r>
            <w:r w:rsidR="007E32A4">
              <w:rPr>
                <w:sz w:val="22"/>
                <w:szCs w:val="22"/>
              </w:rPr>
              <w:t xml:space="preserve">each of </w:t>
            </w:r>
            <w:r>
              <w:rPr>
                <w:sz w:val="22"/>
                <w:szCs w:val="22"/>
              </w:rPr>
              <w:t>the Health, Purpose and Community dimensions of their recovery as described in Section A – Recovery Housin</w:t>
            </w:r>
            <w:r w:rsidR="007E32A4">
              <w:rPr>
                <w:sz w:val="22"/>
                <w:szCs w:val="22"/>
              </w:rPr>
              <w:t xml:space="preserve">g of this program description. Services are available at the choice of the applicant. </w:t>
            </w:r>
          </w:p>
          <w:p w14:paraId="56926F03" w14:textId="05B6C776" w:rsidR="00E170F5" w:rsidRPr="00030C26" w:rsidRDefault="007E32A4" w:rsidP="00DF21F9">
            <w:pPr>
              <w:pStyle w:val="Footer"/>
              <w:tabs>
                <w:tab w:val="clear" w:pos="4320"/>
                <w:tab w:val="clear" w:pos="8640"/>
                <w:tab w:val="left" w:pos="7650"/>
              </w:tabs>
              <w:spacing w:before="120" w:after="120"/>
              <w:rPr>
                <w:sz w:val="22"/>
                <w:szCs w:val="22"/>
              </w:rPr>
            </w:pPr>
            <w:r>
              <w:rPr>
                <w:sz w:val="22"/>
                <w:szCs w:val="22"/>
              </w:rPr>
              <w:t>If housing will be provided to include family members of the individual in recovery, support services are available to each household member to foster their long-term success in the recovery</w:t>
            </w:r>
            <w:r w:rsidR="00A35BA2">
              <w:rPr>
                <w:sz w:val="22"/>
                <w:szCs w:val="22"/>
              </w:rPr>
              <w:t xml:space="preserve"> </w:t>
            </w:r>
            <w:r w:rsidR="002E5D4B">
              <w:rPr>
                <w:sz w:val="22"/>
                <w:szCs w:val="22"/>
              </w:rPr>
              <w:t xml:space="preserve">from </w:t>
            </w:r>
            <w:r w:rsidR="004C70FE">
              <w:rPr>
                <w:sz w:val="22"/>
                <w:szCs w:val="22"/>
              </w:rPr>
              <w:t xml:space="preserve">the </w:t>
            </w:r>
            <w:r w:rsidR="00A35BA2">
              <w:rPr>
                <w:sz w:val="22"/>
                <w:szCs w:val="22"/>
              </w:rPr>
              <w:t>use of opioids or opioid derivatives</w:t>
            </w:r>
            <w:r>
              <w:rPr>
                <w:sz w:val="22"/>
                <w:szCs w:val="22"/>
              </w:rPr>
              <w:t>.</w:t>
            </w:r>
          </w:p>
        </w:tc>
        <w:tc>
          <w:tcPr>
            <w:tcW w:w="1276" w:type="dxa"/>
            <w:tcBorders>
              <w:top w:val="single" w:sz="12" w:space="0" w:color="auto"/>
              <w:bottom w:val="single" w:sz="12" w:space="0" w:color="auto"/>
              <w:right w:val="single" w:sz="12" w:space="0" w:color="auto"/>
            </w:tcBorders>
          </w:tcPr>
          <w:p w14:paraId="4AB9A819" w14:textId="0FD04C86" w:rsidR="00E96686" w:rsidRPr="00030C26" w:rsidRDefault="002610FF" w:rsidP="00BF604B">
            <w:pPr>
              <w:pStyle w:val="Footer"/>
              <w:tabs>
                <w:tab w:val="clear" w:pos="4320"/>
                <w:tab w:val="clear" w:pos="8640"/>
                <w:tab w:val="left" w:pos="7650"/>
              </w:tabs>
              <w:spacing w:before="120" w:after="120"/>
              <w:jc w:val="right"/>
              <w:rPr>
                <w:sz w:val="22"/>
                <w:szCs w:val="22"/>
              </w:rPr>
            </w:pPr>
            <w:r>
              <w:rPr>
                <w:sz w:val="22"/>
                <w:szCs w:val="22"/>
              </w:rPr>
              <w:t xml:space="preserve">Up to </w:t>
            </w:r>
            <w:r w:rsidR="007E32A4">
              <w:rPr>
                <w:sz w:val="22"/>
                <w:szCs w:val="22"/>
              </w:rPr>
              <w:t>1</w:t>
            </w:r>
            <w:r w:rsidR="00BF604B">
              <w:rPr>
                <w:sz w:val="22"/>
                <w:szCs w:val="22"/>
              </w:rPr>
              <w:t>0</w:t>
            </w:r>
            <w:r>
              <w:rPr>
                <w:sz w:val="22"/>
                <w:szCs w:val="22"/>
              </w:rPr>
              <w:t xml:space="preserve"> points</w:t>
            </w:r>
          </w:p>
        </w:tc>
      </w:tr>
      <w:tr w:rsidR="00BF604B" w14:paraId="5911FA10" w14:textId="77777777" w:rsidTr="00E170F5">
        <w:tc>
          <w:tcPr>
            <w:tcW w:w="357" w:type="dxa"/>
            <w:tcBorders>
              <w:top w:val="single" w:sz="12" w:space="0" w:color="auto"/>
              <w:left w:val="single" w:sz="12" w:space="0" w:color="auto"/>
              <w:bottom w:val="single" w:sz="12" w:space="0" w:color="auto"/>
              <w:right w:val="nil"/>
            </w:tcBorders>
          </w:tcPr>
          <w:p w14:paraId="59FE9BDE" w14:textId="77777777" w:rsidR="00BF604B" w:rsidRPr="00030C26" w:rsidRDefault="00BF604B"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17AE68B2" w14:textId="582C8B0A" w:rsidR="00BF604B" w:rsidRDefault="00BF604B" w:rsidP="00592B70">
            <w:pPr>
              <w:pStyle w:val="Footer"/>
              <w:numPr>
                <w:ilvl w:val="0"/>
                <w:numId w:val="21"/>
              </w:numPr>
              <w:tabs>
                <w:tab w:val="clear" w:pos="4320"/>
                <w:tab w:val="clear" w:pos="8640"/>
                <w:tab w:val="left" w:pos="7650"/>
              </w:tabs>
              <w:spacing w:before="120" w:after="120"/>
              <w:ind w:left="332"/>
              <w:rPr>
                <w:sz w:val="22"/>
                <w:szCs w:val="22"/>
              </w:rPr>
            </w:pPr>
            <w:r>
              <w:rPr>
                <w:sz w:val="22"/>
                <w:szCs w:val="22"/>
              </w:rPr>
              <w:t xml:space="preserve">Innovation – Up to </w:t>
            </w:r>
            <w:r w:rsidR="00592B70">
              <w:rPr>
                <w:sz w:val="22"/>
                <w:szCs w:val="22"/>
              </w:rPr>
              <w:t>5</w:t>
            </w:r>
            <w:r>
              <w:rPr>
                <w:sz w:val="22"/>
                <w:szCs w:val="22"/>
              </w:rPr>
              <w:t xml:space="preserve"> points</w:t>
            </w:r>
          </w:p>
        </w:tc>
        <w:tc>
          <w:tcPr>
            <w:tcW w:w="5532" w:type="dxa"/>
            <w:tcBorders>
              <w:top w:val="single" w:sz="12" w:space="0" w:color="auto"/>
              <w:bottom w:val="single" w:sz="12" w:space="0" w:color="auto"/>
            </w:tcBorders>
          </w:tcPr>
          <w:p w14:paraId="59652686" w14:textId="500EA77F" w:rsidR="00BF604B" w:rsidRDefault="00BF604B" w:rsidP="00BF604B">
            <w:pPr>
              <w:pStyle w:val="Footer"/>
              <w:tabs>
                <w:tab w:val="clear" w:pos="4320"/>
                <w:tab w:val="clear" w:pos="8640"/>
                <w:tab w:val="left" w:pos="7650"/>
              </w:tabs>
              <w:spacing w:before="120" w:after="120"/>
              <w:rPr>
                <w:sz w:val="22"/>
                <w:szCs w:val="22"/>
              </w:rPr>
            </w:pPr>
            <w:r w:rsidRPr="00B50D8F">
              <w:rPr>
                <w:sz w:val="22"/>
                <w:szCs w:val="22"/>
              </w:rPr>
              <w:t xml:space="preserve">The housing proposed in the application demonstrates a creative approach to affordable rental housing for low income households recovering from </w:t>
            </w:r>
            <w:r w:rsidR="00A35BA2">
              <w:rPr>
                <w:sz w:val="22"/>
                <w:szCs w:val="22"/>
              </w:rPr>
              <w:t>the use of opioids or opioid derivatives</w:t>
            </w:r>
            <w:r w:rsidRPr="00B50D8F">
              <w:rPr>
                <w:sz w:val="22"/>
                <w:szCs w:val="22"/>
              </w:rPr>
              <w:t xml:space="preserve">. </w:t>
            </w:r>
          </w:p>
          <w:p w14:paraId="18F32E5D" w14:textId="12A18482" w:rsidR="00B50D8F" w:rsidRPr="00B50D8F" w:rsidRDefault="00B50D8F" w:rsidP="00BF604B">
            <w:pPr>
              <w:pStyle w:val="Footer"/>
              <w:tabs>
                <w:tab w:val="clear" w:pos="4320"/>
                <w:tab w:val="clear" w:pos="8640"/>
                <w:tab w:val="left" w:pos="7650"/>
              </w:tabs>
              <w:spacing w:before="120" w:after="120"/>
              <w:rPr>
                <w:sz w:val="22"/>
                <w:szCs w:val="22"/>
              </w:rPr>
            </w:pPr>
          </w:p>
        </w:tc>
        <w:tc>
          <w:tcPr>
            <w:tcW w:w="1276" w:type="dxa"/>
            <w:tcBorders>
              <w:top w:val="single" w:sz="12" w:space="0" w:color="auto"/>
              <w:bottom w:val="single" w:sz="12" w:space="0" w:color="auto"/>
              <w:right w:val="single" w:sz="12" w:space="0" w:color="auto"/>
            </w:tcBorders>
          </w:tcPr>
          <w:p w14:paraId="44465404" w14:textId="6390A6B6" w:rsidR="00BF604B" w:rsidRDefault="00BF604B" w:rsidP="00592B70">
            <w:pPr>
              <w:pStyle w:val="Footer"/>
              <w:tabs>
                <w:tab w:val="clear" w:pos="4320"/>
                <w:tab w:val="clear" w:pos="8640"/>
                <w:tab w:val="left" w:pos="7650"/>
              </w:tabs>
              <w:spacing w:before="120" w:after="120"/>
              <w:jc w:val="right"/>
              <w:rPr>
                <w:sz w:val="22"/>
                <w:szCs w:val="22"/>
              </w:rPr>
            </w:pPr>
            <w:r>
              <w:rPr>
                <w:sz w:val="22"/>
                <w:szCs w:val="22"/>
              </w:rPr>
              <w:t xml:space="preserve">Up to </w:t>
            </w:r>
            <w:r w:rsidR="00592B70">
              <w:rPr>
                <w:sz w:val="22"/>
                <w:szCs w:val="22"/>
              </w:rPr>
              <w:t>5</w:t>
            </w:r>
            <w:r>
              <w:rPr>
                <w:sz w:val="22"/>
                <w:szCs w:val="22"/>
              </w:rPr>
              <w:t xml:space="preserve"> points</w:t>
            </w:r>
          </w:p>
        </w:tc>
      </w:tr>
      <w:tr w:rsidR="002610FF" w14:paraId="6FE76825" w14:textId="77777777" w:rsidTr="00E170F5">
        <w:tc>
          <w:tcPr>
            <w:tcW w:w="8894" w:type="dxa"/>
            <w:gridSpan w:val="3"/>
            <w:tcBorders>
              <w:top w:val="single" w:sz="12" w:space="0" w:color="auto"/>
              <w:left w:val="single" w:sz="12" w:space="0" w:color="auto"/>
            </w:tcBorders>
          </w:tcPr>
          <w:p w14:paraId="78D67346" w14:textId="58EB3FBB" w:rsidR="002610FF" w:rsidRPr="002610FF" w:rsidRDefault="002610FF" w:rsidP="00B467A5">
            <w:pPr>
              <w:pStyle w:val="Footer"/>
              <w:tabs>
                <w:tab w:val="clear" w:pos="4320"/>
                <w:tab w:val="clear" w:pos="8640"/>
                <w:tab w:val="left" w:pos="7650"/>
              </w:tabs>
              <w:spacing w:before="120" w:after="120"/>
              <w:rPr>
                <w:b/>
                <w:sz w:val="22"/>
                <w:szCs w:val="22"/>
              </w:rPr>
            </w:pPr>
            <w:r w:rsidRPr="002610FF">
              <w:rPr>
                <w:b/>
                <w:sz w:val="22"/>
                <w:szCs w:val="22"/>
              </w:rPr>
              <w:lastRenderedPageBreak/>
              <w:t>APPLICANT CAPACITY</w:t>
            </w:r>
          </w:p>
        </w:tc>
        <w:tc>
          <w:tcPr>
            <w:tcW w:w="1276" w:type="dxa"/>
            <w:tcBorders>
              <w:top w:val="single" w:sz="12" w:space="0" w:color="auto"/>
              <w:bottom w:val="single" w:sz="12" w:space="0" w:color="auto"/>
              <w:right w:val="single" w:sz="12" w:space="0" w:color="auto"/>
            </w:tcBorders>
          </w:tcPr>
          <w:p w14:paraId="56114741" w14:textId="23A371E3" w:rsidR="002610FF" w:rsidRPr="002610FF" w:rsidRDefault="00140CE6" w:rsidP="00D50CC9">
            <w:pPr>
              <w:pStyle w:val="Footer"/>
              <w:tabs>
                <w:tab w:val="clear" w:pos="4320"/>
                <w:tab w:val="clear" w:pos="8640"/>
                <w:tab w:val="left" w:pos="7650"/>
              </w:tabs>
              <w:spacing w:before="120" w:after="120"/>
              <w:jc w:val="right"/>
              <w:rPr>
                <w:b/>
                <w:sz w:val="22"/>
                <w:szCs w:val="22"/>
              </w:rPr>
            </w:pPr>
            <w:r>
              <w:rPr>
                <w:b/>
                <w:sz w:val="22"/>
                <w:szCs w:val="22"/>
              </w:rPr>
              <w:t>40</w:t>
            </w:r>
            <w:r w:rsidR="002610FF" w:rsidRPr="002610FF">
              <w:rPr>
                <w:b/>
                <w:sz w:val="22"/>
                <w:szCs w:val="22"/>
              </w:rPr>
              <w:t xml:space="preserve"> POINTS</w:t>
            </w:r>
          </w:p>
        </w:tc>
      </w:tr>
      <w:tr w:rsidR="00140CE6" w14:paraId="7E598106" w14:textId="77777777" w:rsidTr="0095683A">
        <w:tc>
          <w:tcPr>
            <w:tcW w:w="10170" w:type="dxa"/>
            <w:gridSpan w:val="4"/>
            <w:tcBorders>
              <w:top w:val="single" w:sz="12" w:space="0" w:color="auto"/>
              <w:left w:val="single" w:sz="12" w:space="0" w:color="auto"/>
              <w:bottom w:val="single" w:sz="12" w:space="0" w:color="auto"/>
              <w:right w:val="single" w:sz="12" w:space="0" w:color="auto"/>
            </w:tcBorders>
          </w:tcPr>
          <w:p w14:paraId="100080CA" w14:textId="56D3D76F" w:rsidR="00140CE6" w:rsidRPr="00030C26" w:rsidRDefault="00140CE6" w:rsidP="00140CE6">
            <w:pPr>
              <w:pStyle w:val="Footer"/>
              <w:numPr>
                <w:ilvl w:val="0"/>
                <w:numId w:val="22"/>
              </w:numPr>
              <w:tabs>
                <w:tab w:val="clear" w:pos="4320"/>
                <w:tab w:val="clear" w:pos="8640"/>
                <w:tab w:val="left" w:pos="7650"/>
              </w:tabs>
              <w:spacing w:before="120" w:after="120"/>
              <w:ind w:left="335"/>
              <w:rPr>
                <w:sz w:val="22"/>
                <w:szCs w:val="22"/>
              </w:rPr>
            </w:pPr>
            <w:r>
              <w:rPr>
                <w:i/>
                <w:sz w:val="22"/>
                <w:szCs w:val="22"/>
              </w:rPr>
              <w:t xml:space="preserve">The Applicant demonstrates sufficient capacity to carry out the proposed project and to manage the permanent rental housing through the compliance period.  </w:t>
            </w:r>
          </w:p>
        </w:tc>
      </w:tr>
      <w:tr w:rsidR="007348FC" w14:paraId="2DFE8B35" w14:textId="77777777" w:rsidTr="005D3AF0">
        <w:tc>
          <w:tcPr>
            <w:tcW w:w="357" w:type="dxa"/>
            <w:tcBorders>
              <w:top w:val="single" w:sz="12" w:space="0" w:color="auto"/>
              <w:left w:val="single" w:sz="12" w:space="0" w:color="auto"/>
              <w:bottom w:val="single" w:sz="12" w:space="0" w:color="auto"/>
              <w:right w:val="nil"/>
            </w:tcBorders>
          </w:tcPr>
          <w:p w14:paraId="3D853DEF" w14:textId="77777777" w:rsidR="007348FC" w:rsidRPr="00030C26" w:rsidRDefault="007348FC"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6567FEE6" w14:textId="5B6E3CC2" w:rsidR="007348FC" w:rsidRPr="00030C26" w:rsidRDefault="007348FC" w:rsidP="0061014E">
            <w:pPr>
              <w:pStyle w:val="Footer"/>
              <w:numPr>
                <w:ilvl w:val="0"/>
                <w:numId w:val="26"/>
              </w:numPr>
              <w:tabs>
                <w:tab w:val="clear" w:pos="4320"/>
                <w:tab w:val="clear" w:pos="8640"/>
                <w:tab w:val="left" w:pos="7650"/>
              </w:tabs>
              <w:spacing w:before="120" w:after="120"/>
              <w:ind w:left="332"/>
              <w:rPr>
                <w:sz w:val="22"/>
                <w:szCs w:val="22"/>
              </w:rPr>
            </w:pPr>
            <w:r>
              <w:rPr>
                <w:sz w:val="22"/>
                <w:szCs w:val="22"/>
              </w:rPr>
              <w:t xml:space="preserve">Housing Development </w:t>
            </w:r>
            <w:r w:rsidR="00067A23">
              <w:rPr>
                <w:sz w:val="22"/>
                <w:szCs w:val="22"/>
              </w:rPr>
              <w:t xml:space="preserve">&amp; </w:t>
            </w:r>
            <w:r w:rsidR="00DE30E0">
              <w:rPr>
                <w:sz w:val="22"/>
                <w:szCs w:val="22"/>
              </w:rPr>
              <w:t xml:space="preserve">Housing </w:t>
            </w:r>
            <w:r w:rsidR="00067A23">
              <w:rPr>
                <w:sz w:val="22"/>
                <w:szCs w:val="22"/>
              </w:rPr>
              <w:t xml:space="preserve">Service Delivery </w:t>
            </w:r>
            <w:r>
              <w:rPr>
                <w:sz w:val="22"/>
                <w:szCs w:val="22"/>
              </w:rPr>
              <w:t>Experience</w:t>
            </w:r>
            <w:r w:rsidR="001E4469">
              <w:rPr>
                <w:sz w:val="22"/>
                <w:szCs w:val="22"/>
              </w:rPr>
              <w:t xml:space="preserve"> – Up to 1</w:t>
            </w:r>
            <w:r w:rsidR="00353D64">
              <w:rPr>
                <w:sz w:val="22"/>
                <w:szCs w:val="22"/>
              </w:rPr>
              <w:t>4</w:t>
            </w:r>
            <w:r w:rsidR="001E4469">
              <w:rPr>
                <w:sz w:val="22"/>
                <w:szCs w:val="22"/>
              </w:rPr>
              <w:t xml:space="preserve"> points</w:t>
            </w:r>
          </w:p>
        </w:tc>
        <w:tc>
          <w:tcPr>
            <w:tcW w:w="5532" w:type="dxa"/>
            <w:tcBorders>
              <w:top w:val="single" w:sz="12" w:space="0" w:color="auto"/>
              <w:bottom w:val="single" w:sz="12" w:space="0" w:color="auto"/>
            </w:tcBorders>
          </w:tcPr>
          <w:p w14:paraId="59572CE2" w14:textId="717AC710" w:rsidR="007348FC" w:rsidRDefault="007348FC" w:rsidP="007348FC">
            <w:pPr>
              <w:pStyle w:val="Footer"/>
              <w:tabs>
                <w:tab w:val="clear" w:pos="4320"/>
                <w:tab w:val="clear" w:pos="8640"/>
                <w:tab w:val="left" w:pos="7650"/>
              </w:tabs>
              <w:spacing w:before="120" w:after="120"/>
              <w:rPr>
                <w:sz w:val="22"/>
                <w:szCs w:val="22"/>
              </w:rPr>
            </w:pPr>
            <w:r>
              <w:rPr>
                <w:sz w:val="22"/>
                <w:szCs w:val="22"/>
              </w:rPr>
              <w:t xml:space="preserve">The Applicant, including its staff or contracted consultants, has successful experience with </w:t>
            </w:r>
            <w:r w:rsidR="00811C4B">
              <w:rPr>
                <w:sz w:val="22"/>
                <w:szCs w:val="22"/>
              </w:rPr>
              <w:t>rental housing</w:t>
            </w:r>
            <w:r>
              <w:rPr>
                <w:sz w:val="22"/>
                <w:szCs w:val="22"/>
              </w:rPr>
              <w:t xml:space="preserve"> developm</w:t>
            </w:r>
            <w:r w:rsidR="00811C4B">
              <w:rPr>
                <w:sz w:val="22"/>
                <w:szCs w:val="22"/>
              </w:rPr>
              <w:t>ent</w:t>
            </w:r>
            <w:r>
              <w:rPr>
                <w:sz w:val="22"/>
                <w:szCs w:val="22"/>
              </w:rPr>
              <w:t xml:space="preserve">.  </w:t>
            </w:r>
          </w:p>
          <w:p w14:paraId="61AAB4D7" w14:textId="31BCD5AC" w:rsidR="00E170F5" w:rsidRPr="00030C26" w:rsidRDefault="00067A23" w:rsidP="007348FC">
            <w:pPr>
              <w:pStyle w:val="Footer"/>
              <w:tabs>
                <w:tab w:val="clear" w:pos="4320"/>
                <w:tab w:val="clear" w:pos="8640"/>
                <w:tab w:val="left" w:pos="7650"/>
              </w:tabs>
              <w:spacing w:before="120" w:after="120"/>
              <w:rPr>
                <w:sz w:val="22"/>
                <w:szCs w:val="22"/>
              </w:rPr>
            </w:pPr>
            <w:r>
              <w:rPr>
                <w:sz w:val="22"/>
                <w:szCs w:val="22"/>
              </w:rPr>
              <w:t xml:space="preserve">The Applicant, including its staff, has successful experience in the delivery of housing related services.  </w:t>
            </w:r>
          </w:p>
        </w:tc>
        <w:tc>
          <w:tcPr>
            <w:tcW w:w="1276" w:type="dxa"/>
            <w:tcBorders>
              <w:top w:val="single" w:sz="12" w:space="0" w:color="auto"/>
              <w:bottom w:val="single" w:sz="12" w:space="0" w:color="auto"/>
              <w:right w:val="single" w:sz="12" w:space="0" w:color="auto"/>
            </w:tcBorders>
          </w:tcPr>
          <w:p w14:paraId="6CE87C89" w14:textId="4AD38375" w:rsidR="007348FC" w:rsidRPr="00030C26" w:rsidRDefault="001E4469" w:rsidP="00B50D8F">
            <w:pPr>
              <w:pStyle w:val="Footer"/>
              <w:tabs>
                <w:tab w:val="clear" w:pos="4320"/>
                <w:tab w:val="clear" w:pos="8640"/>
                <w:tab w:val="left" w:pos="7650"/>
              </w:tabs>
              <w:spacing w:before="120" w:after="120"/>
              <w:jc w:val="right"/>
              <w:rPr>
                <w:sz w:val="22"/>
                <w:szCs w:val="22"/>
              </w:rPr>
            </w:pPr>
            <w:r>
              <w:rPr>
                <w:sz w:val="22"/>
                <w:szCs w:val="22"/>
              </w:rPr>
              <w:t>Up to 1</w:t>
            </w:r>
            <w:r w:rsidR="00B50D8F">
              <w:rPr>
                <w:sz w:val="22"/>
                <w:szCs w:val="22"/>
              </w:rPr>
              <w:t xml:space="preserve">4 </w:t>
            </w:r>
            <w:r>
              <w:rPr>
                <w:sz w:val="22"/>
                <w:szCs w:val="22"/>
              </w:rPr>
              <w:t>points</w:t>
            </w:r>
          </w:p>
        </w:tc>
      </w:tr>
      <w:tr w:rsidR="007348FC" w14:paraId="5FADAC23" w14:textId="77777777" w:rsidTr="005D3AF0">
        <w:tc>
          <w:tcPr>
            <w:tcW w:w="357" w:type="dxa"/>
            <w:tcBorders>
              <w:top w:val="single" w:sz="12" w:space="0" w:color="auto"/>
              <w:left w:val="single" w:sz="12" w:space="0" w:color="auto"/>
              <w:bottom w:val="single" w:sz="12" w:space="0" w:color="auto"/>
              <w:right w:val="nil"/>
            </w:tcBorders>
          </w:tcPr>
          <w:p w14:paraId="1E977F61" w14:textId="77777777" w:rsidR="007348FC" w:rsidRPr="00030C26" w:rsidRDefault="007348FC"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2281A96A" w14:textId="356D24E4" w:rsidR="007348FC" w:rsidRPr="00030C26" w:rsidRDefault="007348FC" w:rsidP="00353D64">
            <w:pPr>
              <w:pStyle w:val="Footer"/>
              <w:numPr>
                <w:ilvl w:val="0"/>
                <w:numId w:val="26"/>
              </w:numPr>
              <w:tabs>
                <w:tab w:val="clear" w:pos="4320"/>
                <w:tab w:val="clear" w:pos="8640"/>
                <w:tab w:val="left" w:pos="7650"/>
              </w:tabs>
              <w:spacing w:before="120" w:after="120"/>
              <w:ind w:left="332"/>
              <w:rPr>
                <w:sz w:val="22"/>
                <w:szCs w:val="22"/>
              </w:rPr>
            </w:pPr>
            <w:r>
              <w:rPr>
                <w:sz w:val="22"/>
                <w:szCs w:val="22"/>
              </w:rPr>
              <w:t>Housing Management Experience</w:t>
            </w:r>
            <w:r w:rsidR="00353D64">
              <w:rPr>
                <w:sz w:val="22"/>
                <w:szCs w:val="22"/>
              </w:rPr>
              <w:t xml:space="preserve"> – Up to </w:t>
            </w:r>
            <w:r w:rsidR="001E4469">
              <w:rPr>
                <w:sz w:val="22"/>
                <w:szCs w:val="22"/>
              </w:rPr>
              <w:t>1</w:t>
            </w:r>
            <w:r w:rsidR="00353D64">
              <w:rPr>
                <w:sz w:val="22"/>
                <w:szCs w:val="22"/>
              </w:rPr>
              <w:t xml:space="preserve">4 </w:t>
            </w:r>
            <w:r w:rsidR="001E4469">
              <w:rPr>
                <w:sz w:val="22"/>
                <w:szCs w:val="22"/>
              </w:rPr>
              <w:t>points</w:t>
            </w:r>
          </w:p>
        </w:tc>
        <w:tc>
          <w:tcPr>
            <w:tcW w:w="5532" w:type="dxa"/>
            <w:tcBorders>
              <w:top w:val="single" w:sz="12" w:space="0" w:color="auto"/>
              <w:bottom w:val="single" w:sz="12" w:space="0" w:color="auto"/>
            </w:tcBorders>
          </w:tcPr>
          <w:p w14:paraId="75DD198E" w14:textId="4A1FE5F8" w:rsidR="00353D64" w:rsidRDefault="007348FC" w:rsidP="00B467A5">
            <w:pPr>
              <w:pStyle w:val="Footer"/>
              <w:tabs>
                <w:tab w:val="clear" w:pos="4320"/>
                <w:tab w:val="clear" w:pos="8640"/>
                <w:tab w:val="left" w:pos="7650"/>
              </w:tabs>
              <w:spacing w:before="120" w:after="120"/>
              <w:rPr>
                <w:sz w:val="22"/>
                <w:szCs w:val="22"/>
              </w:rPr>
            </w:pPr>
            <w:r>
              <w:rPr>
                <w:sz w:val="22"/>
                <w:szCs w:val="22"/>
              </w:rPr>
              <w:t>The Applicant, including its staff or a contracted, third party property management entity, has successful experience with the management of affordable rental housing.</w:t>
            </w:r>
          </w:p>
          <w:tbl>
            <w:tblPr>
              <w:tblW w:w="3000" w:type="dxa"/>
              <w:jc w:val="center"/>
              <w:tblLook w:val="04A0" w:firstRow="1" w:lastRow="0" w:firstColumn="1" w:lastColumn="0" w:noHBand="0" w:noVBand="1"/>
            </w:tblPr>
            <w:tblGrid>
              <w:gridCol w:w="2040"/>
              <w:gridCol w:w="960"/>
            </w:tblGrid>
            <w:tr w:rsidR="00353D64" w:rsidRPr="00353D64" w14:paraId="66BE7C34" w14:textId="77777777" w:rsidTr="001677C5">
              <w:trPr>
                <w:trHeight w:val="300"/>
                <w:jc w:val="center"/>
              </w:trPr>
              <w:tc>
                <w:tcPr>
                  <w:tcW w:w="2040" w:type="dxa"/>
                  <w:shd w:val="clear" w:color="auto" w:fill="auto"/>
                  <w:noWrap/>
                  <w:vAlign w:val="bottom"/>
                  <w:hideMark/>
                </w:tcPr>
                <w:p w14:paraId="52AB8E5B" w14:textId="77777777" w:rsidR="00353D64" w:rsidRPr="00353D64" w:rsidRDefault="00353D64" w:rsidP="00D17C1A">
                  <w:pPr>
                    <w:jc w:val="center"/>
                    <w:rPr>
                      <w:b/>
                      <w:bCs/>
                      <w:color w:val="000000"/>
                      <w:sz w:val="22"/>
                      <w:szCs w:val="22"/>
                      <w:u w:val="single"/>
                    </w:rPr>
                  </w:pPr>
                  <w:r w:rsidRPr="00353D64">
                    <w:rPr>
                      <w:b/>
                      <w:bCs/>
                      <w:color w:val="000000"/>
                      <w:sz w:val="22"/>
                      <w:szCs w:val="22"/>
                      <w:u w:val="single"/>
                    </w:rPr>
                    <w:t>Years</w:t>
                  </w:r>
                </w:p>
              </w:tc>
              <w:tc>
                <w:tcPr>
                  <w:tcW w:w="960" w:type="dxa"/>
                  <w:shd w:val="clear" w:color="auto" w:fill="auto"/>
                  <w:noWrap/>
                  <w:vAlign w:val="bottom"/>
                  <w:hideMark/>
                </w:tcPr>
                <w:p w14:paraId="1A81203D" w14:textId="77777777" w:rsidR="00353D64" w:rsidRPr="00353D64" w:rsidRDefault="00353D64" w:rsidP="00353D64">
                  <w:pPr>
                    <w:jc w:val="center"/>
                    <w:rPr>
                      <w:b/>
                      <w:bCs/>
                      <w:color w:val="000000"/>
                      <w:sz w:val="22"/>
                      <w:szCs w:val="22"/>
                      <w:u w:val="single"/>
                    </w:rPr>
                  </w:pPr>
                  <w:r w:rsidRPr="00353D64">
                    <w:rPr>
                      <w:b/>
                      <w:bCs/>
                      <w:color w:val="000000"/>
                      <w:sz w:val="22"/>
                      <w:szCs w:val="22"/>
                      <w:u w:val="single"/>
                    </w:rPr>
                    <w:t>Points</w:t>
                  </w:r>
                </w:p>
              </w:tc>
            </w:tr>
            <w:tr w:rsidR="00353D64" w:rsidRPr="00353D64" w14:paraId="2DE50627" w14:textId="77777777" w:rsidTr="001677C5">
              <w:trPr>
                <w:trHeight w:val="300"/>
                <w:jc w:val="center"/>
              </w:trPr>
              <w:tc>
                <w:tcPr>
                  <w:tcW w:w="2040" w:type="dxa"/>
                  <w:shd w:val="clear" w:color="auto" w:fill="auto"/>
                  <w:noWrap/>
                  <w:vAlign w:val="bottom"/>
                  <w:hideMark/>
                </w:tcPr>
                <w:p w14:paraId="34AFD200" w14:textId="53BD5E05" w:rsidR="00353D64" w:rsidRPr="00353D64" w:rsidRDefault="00353D64" w:rsidP="00D17C1A">
                  <w:pPr>
                    <w:jc w:val="center"/>
                    <w:rPr>
                      <w:color w:val="000000"/>
                      <w:sz w:val="22"/>
                      <w:szCs w:val="22"/>
                    </w:rPr>
                  </w:pPr>
                  <w:r w:rsidRPr="00353D64">
                    <w:rPr>
                      <w:color w:val="000000"/>
                      <w:sz w:val="22"/>
                      <w:szCs w:val="22"/>
                    </w:rPr>
                    <w:t>1-3</w:t>
                  </w:r>
                </w:p>
              </w:tc>
              <w:tc>
                <w:tcPr>
                  <w:tcW w:w="960" w:type="dxa"/>
                  <w:shd w:val="clear" w:color="auto" w:fill="auto"/>
                  <w:noWrap/>
                  <w:vAlign w:val="bottom"/>
                  <w:hideMark/>
                </w:tcPr>
                <w:p w14:paraId="58180E2F" w14:textId="77777777" w:rsidR="00353D64" w:rsidRPr="00353D64" w:rsidRDefault="00353D64" w:rsidP="00353D64">
                  <w:pPr>
                    <w:jc w:val="center"/>
                    <w:rPr>
                      <w:color w:val="000000"/>
                      <w:sz w:val="22"/>
                      <w:szCs w:val="22"/>
                    </w:rPr>
                  </w:pPr>
                  <w:r w:rsidRPr="00353D64">
                    <w:rPr>
                      <w:color w:val="000000"/>
                      <w:sz w:val="22"/>
                      <w:szCs w:val="22"/>
                    </w:rPr>
                    <w:t>3</w:t>
                  </w:r>
                </w:p>
              </w:tc>
            </w:tr>
            <w:tr w:rsidR="00353D64" w:rsidRPr="00353D64" w14:paraId="5541F096" w14:textId="77777777" w:rsidTr="001677C5">
              <w:trPr>
                <w:trHeight w:val="300"/>
                <w:jc w:val="center"/>
              </w:trPr>
              <w:tc>
                <w:tcPr>
                  <w:tcW w:w="2040" w:type="dxa"/>
                  <w:shd w:val="clear" w:color="auto" w:fill="auto"/>
                  <w:noWrap/>
                  <w:vAlign w:val="bottom"/>
                  <w:hideMark/>
                </w:tcPr>
                <w:p w14:paraId="4629E148" w14:textId="22CCC683" w:rsidR="00353D64" w:rsidRPr="00353D64" w:rsidRDefault="00353D64" w:rsidP="00D17C1A">
                  <w:pPr>
                    <w:jc w:val="center"/>
                    <w:rPr>
                      <w:color w:val="000000"/>
                      <w:sz w:val="22"/>
                      <w:szCs w:val="22"/>
                    </w:rPr>
                  </w:pPr>
                  <w:r w:rsidRPr="00353D64">
                    <w:rPr>
                      <w:color w:val="000000"/>
                      <w:sz w:val="22"/>
                      <w:szCs w:val="22"/>
                    </w:rPr>
                    <w:t>4-6</w:t>
                  </w:r>
                </w:p>
              </w:tc>
              <w:tc>
                <w:tcPr>
                  <w:tcW w:w="960" w:type="dxa"/>
                  <w:shd w:val="clear" w:color="auto" w:fill="auto"/>
                  <w:noWrap/>
                  <w:vAlign w:val="bottom"/>
                  <w:hideMark/>
                </w:tcPr>
                <w:p w14:paraId="4FB45C33" w14:textId="77777777" w:rsidR="00353D64" w:rsidRPr="00353D64" w:rsidRDefault="00353D64" w:rsidP="00353D64">
                  <w:pPr>
                    <w:jc w:val="center"/>
                    <w:rPr>
                      <w:color w:val="000000"/>
                      <w:sz w:val="22"/>
                      <w:szCs w:val="22"/>
                    </w:rPr>
                  </w:pPr>
                  <w:r w:rsidRPr="00353D64">
                    <w:rPr>
                      <w:color w:val="000000"/>
                      <w:sz w:val="22"/>
                      <w:szCs w:val="22"/>
                    </w:rPr>
                    <w:t>6</w:t>
                  </w:r>
                </w:p>
              </w:tc>
            </w:tr>
            <w:tr w:rsidR="00353D64" w:rsidRPr="00353D64" w14:paraId="24C84045" w14:textId="77777777" w:rsidTr="001677C5">
              <w:trPr>
                <w:trHeight w:val="300"/>
                <w:jc w:val="center"/>
              </w:trPr>
              <w:tc>
                <w:tcPr>
                  <w:tcW w:w="2040" w:type="dxa"/>
                  <w:shd w:val="clear" w:color="auto" w:fill="auto"/>
                  <w:noWrap/>
                  <w:vAlign w:val="bottom"/>
                  <w:hideMark/>
                </w:tcPr>
                <w:p w14:paraId="5DB77F16" w14:textId="2A2BAB84" w:rsidR="00353D64" w:rsidRPr="00353D64" w:rsidRDefault="00353D64" w:rsidP="00E1625B">
                  <w:pPr>
                    <w:jc w:val="center"/>
                    <w:rPr>
                      <w:color w:val="000000"/>
                      <w:sz w:val="22"/>
                      <w:szCs w:val="22"/>
                    </w:rPr>
                  </w:pPr>
                  <w:r w:rsidRPr="00353D64">
                    <w:rPr>
                      <w:color w:val="000000"/>
                      <w:sz w:val="22"/>
                      <w:szCs w:val="22"/>
                    </w:rPr>
                    <w:t>7-</w:t>
                  </w:r>
                  <w:r w:rsidR="00E1625B">
                    <w:rPr>
                      <w:color w:val="000000"/>
                      <w:sz w:val="22"/>
                      <w:szCs w:val="22"/>
                    </w:rPr>
                    <w:t>9</w:t>
                  </w:r>
                </w:p>
              </w:tc>
              <w:tc>
                <w:tcPr>
                  <w:tcW w:w="960" w:type="dxa"/>
                  <w:shd w:val="clear" w:color="auto" w:fill="auto"/>
                  <w:noWrap/>
                  <w:vAlign w:val="bottom"/>
                  <w:hideMark/>
                </w:tcPr>
                <w:p w14:paraId="63934B9A" w14:textId="379A354A" w:rsidR="00353D64" w:rsidRPr="00353D64" w:rsidRDefault="00E1625B" w:rsidP="00353D64">
                  <w:pPr>
                    <w:jc w:val="center"/>
                    <w:rPr>
                      <w:color w:val="000000"/>
                      <w:sz w:val="22"/>
                      <w:szCs w:val="22"/>
                    </w:rPr>
                  </w:pPr>
                  <w:r>
                    <w:rPr>
                      <w:color w:val="000000"/>
                      <w:sz w:val="22"/>
                      <w:szCs w:val="22"/>
                    </w:rPr>
                    <w:t>9</w:t>
                  </w:r>
                </w:p>
              </w:tc>
            </w:tr>
            <w:tr w:rsidR="00E1625B" w:rsidRPr="00353D64" w14:paraId="6DD4D8A1" w14:textId="77777777" w:rsidTr="001677C5">
              <w:trPr>
                <w:trHeight w:val="300"/>
                <w:jc w:val="center"/>
              </w:trPr>
              <w:tc>
                <w:tcPr>
                  <w:tcW w:w="2040" w:type="dxa"/>
                  <w:shd w:val="clear" w:color="auto" w:fill="auto"/>
                  <w:noWrap/>
                  <w:vAlign w:val="bottom"/>
                </w:tcPr>
                <w:p w14:paraId="1067F26C" w14:textId="00F39667" w:rsidR="00E1625B" w:rsidRDefault="00E1625B" w:rsidP="00D17C1A">
                  <w:pPr>
                    <w:jc w:val="center"/>
                    <w:rPr>
                      <w:color w:val="000000"/>
                      <w:sz w:val="22"/>
                      <w:szCs w:val="22"/>
                    </w:rPr>
                  </w:pPr>
                  <w:r>
                    <w:rPr>
                      <w:color w:val="000000"/>
                      <w:sz w:val="22"/>
                      <w:szCs w:val="22"/>
                    </w:rPr>
                    <w:t>10-12</w:t>
                  </w:r>
                </w:p>
              </w:tc>
              <w:tc>
                <w:tcPr>
                  <w:tcW w:w="960" w:type="dxa"/>
                  <w:shd w:val="clear" w:color="auto" w:fill="auto"/>
                  <w:noWrap/>
                  <w:vAlign w:val="bottom"/>
                </w:tcPr>
                <w:p w14:paraId="7ECBDC71" w14:textId="216977BF" w:rsidR="00E1625B" w:rsidRPr="00353D64" w:rsidRDefault="00E1625B" w:rsidP="00D17C1A">
                  <w:pPr>
                    <w:jc w:val="center"/>
                    <w:rPr>
                      <w:color w:val="000000"/>
                      <w:sz w:val="22"/>
                      <w:szCs w:val="22"/>
                    </w:rPr>
                  </w:pPr>
                  <w:r>
                    <w:rPr>
                      <w:color w:val="000000"/>
                      <w:sz w:val="22"/>
                      <w:szCs w:val="22"/>
                    </w:rPr>
                    <w:t>12</w:t>
                  </w:r>
                </w:p>
              </w:tc>
            </w:tr>
            <w:tr w:rsidR="00353D64" w:rsidRPr="00353D64" w14:paraId="203F983F" w14:textId="77777777" w:rsidTr="001677C5">
              <w:trPr>
                <w:trHeight w:val="300"/>
                <w:jc w:val="center"/>
              </w:trPr>
              <w:tc>
                <w:tcPr>
                  <w:tcW w:w="2040" w:type="dxa"/>
                  <w:shd w:val="clear" w:color="auto" w:fill="auto"/>
                  <w:noWrap/>
                  <w:vAlign w:val="bottom"/>
                  <w:hideMark/>
                </w:tcPr>
                <w:p w14:paraId="31564B11" w14:textId="2538976A" w:rsidR="00353D64" w:rsidRPr="00353D64" w:rsidRDefault="001677C5" w:rsidP="00D17C1A">
                  <w:pPr>
                    <w:jc w:val="center"/>
                    <w:rPr>
                      <w:color w:val="000000"/>
                      <w:sz w:val="22"/>
                      <w:szCs w:val="22"/>
                    </w:rPr>
                  </w:pPr>
                  <w:r>
                    <w:rPr>
                      <w:color w:val="000000"/>
                      <w:sz w:val="22"/>
                      <w:szCs w:val="22"/>
                    </w:rPr>
                    <w:t>13 Years and Over</w:t>
                  </w:r>
                </w:p>
              </w:tc>
              <w:tc>
                <w:tcPr>
                  <w:tcW w:w="960" w:type="dxa"/>
                  <w:shd w:val="clear" w:color="auto" w:fill="auto"/>
                  <w:noWrap/>
                  <w:vAlign w:val="bottom"/>
                  <w:hideMark/>
                </w:tcPr>
                <w:p w14:paraId="568AA743" w14:textId="4E063D4D" w:rsidR="00353D64" w:rsidRPr="00353D64" w:rsidRDefault="00353D64" w:rsidP="00D17C1A">
                  <w:pPr>
                    <w:jc w:val="center"/>
                    <w:rPr>
                      <w:color w:val="000000"/>
                      <w:sz w:val="22"/>
                      <w:szCs w:val="22"/>
                    </w:rPr>
                  </w:pPr>
                  <w:r w:rsidRPr="00353D64">
                    <w:rPr>
                      <w:color w:val="000000"/>
                      <w:sz w:val="22"/>
                      <w:szCs w:val="22"/>
                    </w:rPr>
                    <w:t>1</w:t>
                  </w:r>
                  <w:r w:rsidR="00D17C1A">
                    <w:rPr>
                      <w:color w:val="000000"/>
                      <w:sz w:val="22"/>
                      <w:szCs w:val="22"/>
                    </w:rPr>
                    <w:t>4</w:t>
                  </w:r>
                </w:p>
              </w:tc>
            </w:tr>
          </w:tbl>
          <w:p w14:paraId="634D156E" w14:textId="0061BC43" w:rsidR="00E170F5" w:rsidRPr="00030C26" w:rsidRDefault="00E170F5" w:rsidP="006078F2">
            <w:pPr>
              <w:pStyle w:val="Footer"/>
              <w:tabs>
                <w:tab w:val="clear" w:pos="4320"/>
                <w:tab w:val="clear" w:pos="8640"/>
                <w:tab w:val="left" w:pos="7650"/>
              </w:tabs>
              <w:rPr>
                <w:sz w:val="22"/>
                <w:szCs w:val="22"/>
              </w:rPr>
            </w:pPr>
          </w:p>
        </w:tc>
        <w:tc>
          <w:tcPr>
            <w:tcW w:w="1276" w:type="dxa"/>
            <w:tcBorders>
              <w:top w:val="single" w:sz="12" w:space="0" w:color="auto"/>
              <w:bottom w:val="single" w:sz="12" w:space="0" w:color="auto"/>
              <w:right w:val="single" w:sz="12" w:space="0" w:color="auto"/>
            </w:tcBorders>
          </w:tcPr>
          <w:p w14:paraId="1F3C1992" w14:textId="1C3099E0" w:rsidR="007348FC" w:rsidRPr="00030C26" w:rsidRDefault="001E4469" w:rsidP="00B50D8F">
            <w:pPr>
              <w:pStyle w:val="Footer"/>
              <w:tabs>
                <w:tab w:val="clear" w:pos="4320"/>
                <w:tab w:val="clear" w:pos="8640"/>
                <w:tab w:val="left" w:pos="7650"/>
              </w:tabs>
              <w:spacing w:before="120" w:after="120"/>
              <w:jc w:val="right"/>
              <w:rPr>
                <w:sz w:val="22"/>
                <w:szCs w:val="22"/>
              </w:rPr>
            </w:pPr>
            <w:r>
              <w:rPr>
                <w:sz w:val="22"/>
                <w:szCs w:val="22"/>
              </w:rPr>
              <w:t>Up to 1</w:t>
            </w:r>
            <w:r w:rsidR="00B50D8F">
              <w:rPr>
                <w:sz w:val="22"/>
                <w:szCs w:val="22"/>
              </w:rPr>
              <w:t>4</w:t>
            </w:r>
            <w:r>
              <w:rPr>
                <w:sz w:val="22"/>
                <w:szCs w:val="22"/>
              </w:rPr>
              <w:t xml:space="preserve"> points</w:t>
            </w:r>
          </w:p>
        </w:tc>
      </w:tr>
      <w:tr w:rsidR="007348FC" w14:paraId="61309150" w14:textId="77777777" w:rsidTr="005D3AF0">
        <w:tc>
          <w:tcPr>
            <w:tcW w:w="357" w:type="dxa"/>
            <w:tcBorders>
              <w:top w:val="single" w:sz="12" w:space="0" w:color="auto"/>
              <w:left w:val="single" w:sz="12" w:space="0" w:color="auto"/>
              <w:bottom w:val="single" w:sz="12" w:space="0" w:color="auto"/>
              <w:right w:val="nil"/>
            </w:tcBorders>
          </w:tcPr>
          <w:p w14:paraId="32EE1B8B" w14:textId="77777777" w:rsidR="007348FC" w:rsidRPr="00030C26" w:rsidRDefault="007348FC"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60E12B5D" w14:textId="07CE8D4C" w:rsidR="007348FC" w:rsidRPr="00030C26" w:rsidRDefault="00EA3ED4" w:rsidP="00353D64">
            <w:pPr>
              <w:pStyle w:val="Footer"/>
              <w:numPr>
                <w:ilvl w:val="0"/>
                <w:numId w:val="26"/>
              </w:numPr>
              <w:tabs>
                <w:tab w:val="clear" w:pos="4320"/>
                <w:tab w:val="clear" w:pos="8640"/>
                <w:tab w:val="left" w:pos="7650"/>
              </w:tabs>
              <w:spacing w:before="120" w:after="120"/>
              <w:ind w:left="332"/>
              <w:rPr>
                <w:sz w:val="22"/>
                <w:szCs w:val="22"/>
              </w:rPr>
            </w:pPr>
            <w:r>
              <w:rPr>
                <w:sz w:val="22"/>
                <w:szCs w:val="22"/>
              </w:rPr>
              <w:t>Financial Capacity of the Applicant</w:t>
            </w:r>
            <w:r w:rsidR="001E4469">
              <w:rPr>
                <w:sz w:val="22"/>
                <w:szCs w:val="22"/>
              </w:rPr>
              <w:t xml:space="preserve"> – Up to 1</w:t>
            </w:r>
            <w:r w:rsidR="00353D64">
              <w:rPr>
                <w:sz w:val="22"/>
                <w:szCs w:val="22"/>
              </w:rPr>
              <w:t>2</w:t>
            </w:r>
            <w:r w:rsidR="001E4469">
              <w:rPr>
                <w:sz w:val="22"/>
                <w:szCs w:val="22"/>
              </w:rPr>
              <w:t xml:space="preserve"> points</w:t>
            </w:r>
          </w:p>
        </w:tc>
        <w:tc>
          <w:tcPr>
            <w:tcW w:w="5532" w:type="dxa"/>
            <w:tcBorders>
              <w:top w:val="single" w:sz="12" w:space="0" w:color="auto"/>
              <w:bottom w:val="single" w:sz="12" w:space="0" w:color="auto"/>
            </w:tcBorders>
          </w:tcPr>
          <w:p w14:paraId="39496EEB" w14:textId="7B36AB3F" w:rsidR="00E170F5" w:rsidRPr="00030C26" w:rsidRDefault="007348FC" w:rsidP="00811C4B">
            <w:pPr>
              <w:pStyle w:val="Footer"/>
              <w:tabs>
                <w:tab w:val="clear" w:pos="4320"/>
                <w:tab w:val="clear" w:pos="8640"/>
                <w:tab w:val="left" w:pos="7650"/>
              </w:tabs>
              <w:spacing w:before="120" w:after="120"/>
              <w:rPr>
                <w:sz w:val="22"/>
                <w:szCs w:val="22"/>
              </w:rPr>
            </w:pPr>
            <w:r>
              <w:rPr>
                <w:sz w:val="22"/>
                <w:szCs w:val="22"/>
              </w:rPr>
              <w:t xml:space="preserve">The </w:t>
            </w:r>
            <w:r w:rsidR="00811C4B">
              <w:rPr>
                <w:sz w:val="22"/>
                <w:szCs w:val="22"/>
              </w:rPr>
              <w:t xml:space="preserve">Applicant’s </w:t>
            </w:r>
            <w:r w:rsidR="00EA3ED4">
              <w:rPr>
                <w:sz w:val="22"/>
                <w:szCs w:val="22"/>
              </w:rPr>
              <w:t>financial statement demonstrates that the Applicant has a strong financial health, including, but not limited to, a diverse source of revenue</w:t>
            </w:r>
            <w:r w:rsidR="00811C4B">
              <w:rPr>
                <w:sz w:val="22"/>
                <w:szCs w:val="22"/>
              </w:rPr>
              <w:t>s</w:t>
            </w:r>
            <w:r w:rsidR="00EA3ED4">
              <w:rPr>
                <w:sz w:val="22"/>
                <w:szCs w:val="22"/>
              </w:rPr>
              <w:t xml:space="preserve">, unrestricted cash resources to support the property’s operation </w:t>
            </w:r>
            <w:r w:rsidR="00811C4B">
              <w:rPr>
                <w:sz w:val="22"/>
                <w:szCs w:val="22"/>
              </w:rPr>
              <w:t>if</w:t>
            </w:r>
            <w:r w:rsidR="00EA3ED4">
              <w:rPr>
                <w:sz w:val="22"/>
                <w:szCs w:val="22"/>
              </w:rPr>
              <w:t xml:space="preserve"> </w:t>
            </w:r>
            <w:r w:rsidR="00811C4B">
              <w:rPr>
                <w:sz w:val="22"/>
                <w:szCs w:val="22"/>
              </w:rPr>
              <w:t>project income</w:t>
            </w:r>
            <w:r w:rsidR="00EA3ED4">
              <w:rPr>
                <w:sz w:val="22"/>
                <w:szCs w:val="22"/>
              </w:rPr>
              <w:t xml:space="preserve"> is insufficient to meet project expenses. The</w:t>
            </w:r>
            <w:r w:rsidR="00811C4B">
              <w:rPr>
                <w:sz w:val="22"/>
                <w:szCs w:val="22"/>
              </w:rPr>
              <w:t xml:space="preserve"> Applicant’s</w:t>
            </w:r>
            <w:r w:rsidR="00EA3ED4">
              <w:rPr>
                <w:sz w:val="22"/>
                <w:szCs w:val="22"/>
              </w:rPr>
              <w:t xml:space="preserve"> financial audit does not demonstrate material exceptions or concerns about management and operation. </w:t>
            </w:r>
          </w:p>
        </w:tc>
        <w:tc>
          <w:tcPr>
            <w:tcW w:w="1276" w:type="dxa"/>
            <w:tcBorders>
              <w:top w:val="single" w:sz="12" w:space="0" w:color="auto"/>
              <w:bottom w:val="single" w:sz="12" w:space="0" w:color="auto"/>
              <w:right w:val="single" w:sz="12" w:space="0" w:color="auto"/>
            </w:tcBorders>
          </w:tcPr>
          <w:p w14:paraId="513108EF" w14:textId="2A4064EF" w:rsidR="007348FC" w:rsidRPr="00030C26" w:rsidRDefault="0061014E" w:rsidP="00353D64">
            <w:pPr>
              <w:pStyle w:val="Footer"/>
              <w:tabs>
                <w:tab w:val="clear" w:pos="4320"/>
                <w:tab w:val="clear" w:pos="8640"/>
                <w:tab w:val="left" w:pos="7650"/>
              </w:tabs>
              <w:spacing w:before="120" w:after="120"/>
              <w:jc w:val="right"/>
              <w:rPr>
                <w:sz w:val="22"/>
                <w:szCs w:val="22"/>
              </w:rPr>
            </w:pPr>
            <w:r>
              <w:rPr>
                <w:sz w:val="22"/>
                <w:szCs w:val="22"/>
              </w:rPr>
              <w:t>Up to 1</w:t>
            </w:r>
            <w:r w:rsidR="00353D64">
              <w:rPr>
                <w:sz w:val="22"/>
                <w:szCs w:val="22"/>
              </w:rPr>
              <w:t>2</w:t>
            </w:r>
            <w:r w:rsidR="001E4469">
              <w:rPr>
                <w:sz w:val="22"/>
                <w:szCs w:val="22"/>
              </w:rPr>
              <w:t xml:space="preserve"> points</w:t>
            </w:r>
          </w:p>
        </w:tc>
      </w:tr>
      <w:tr w:rsidR="00EA3ED4" w14:paraId="16CC50CF" w14:textId="77777777" w:rsidTr="005D3AF0">
        <w:tc>
          <w:tcPr>
            <w:tcW w:w="357" w:type="dxa"/>
            <w:tcBorders>
              <w:top w:val="single" w:sz="12" w:space="0" w:color="auto"/>
              <w:left w:val="single" w:sz="12" w:space="0" w:color="auto"/>
              <w:bottom w:val="single" w:sz="12" w:space="0" w:color="auto"/>
              <w:right w:val="nil"/>
            </w:tcBorders>
          </w:tcPr>
          <w:p w14:paraId="0024CBDA" w14:textId="77777777" w:rsidR="00EA3ED4" w:rsidRPr="00030C26" w:rsidRDefault="00EA3ED4"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7329F7B7" w14:textId="68FA4680" w:rsidR="00EA3ED4" w:rsidRPr="00030C26" w:rsidRDefault="00EA3ED4" w:rsidP="001E4469">
            <w:pPr>
              <w:pStyle w:val="Footer"/>
              <w:numPr>
                <w:ilvl w:val="0"/>
                <w:numId w:val="26"/>
              </w:numPr>
              <w:tabs>
                <w:tab w:val="clear" w:pos="4320"/>
                <w:tab w:val="clear" w:pos="8640"/>
                <w:tab w:val="left" w:pos="7650"/>
              </w:tabs>
              <w:spacing w:before="120" w:after="120"/>
              <w:ind w:left="332"/>
              <w:rPr>
                <w:sz w:val="22"/>
                <w:szCs w:val="22"/>
              </w:rPr>
            </w:pPr>
            <w:r>
              <w:rPr>
                <w:sz w:val="22"/>
                <w:szCs w:val="22"/>
              </w:rPr>
              <w:t xml:space="preserve">Past Performance – Up to 8 </w:t>
            </w:r>
            <w:r w:rsidR="001E4469">
              <w:rPr>
                <w:sz w:val="22"/>
                <w:szCs w:val="22"/>
              </w:rPr>
              <w:t>p</w:t>
            </w:r>
            <w:r>
              <w:rPr>
                <w:sz w:val="22"/>
                <w:szCs w:val="22"/>
              </w:rPr>
              <w:t>oint</w:t>
            </w:r>
            <w:r w:rsidR="001E4469">
              <w:rPr>
                <w:sz w:val="22"/>
                <w:szCs w:val="22"/>
              </w:rPr>
              <w:t>s</w:t>
            </w:r>
            <w:r>
              <w:rPr>
                <w:sz w:val="22"/>
                <w:szCs w:val="22"/>
              </w:rPr>
              <w:t xml:space="preserve"> </w:t>
            </w:r>
            <w:r w:rsidR="001E4469">
              <w:rPr>
                <w:sz w:val="22"/>
                <w:szCs w:val="22"/>
              </w:rPr>
              <w:t>d</w:t>
            </w:r>
            <w:r>
              <w:rPr>
                <w:sz w:val="22"/>
                <w:szCs w:val="22"/>
              </w:rPr>
              <w:t>eduction</w:t>
            </w:r>
          </w:p>
        </w:tc>
        <w:tc>
          <w:tcPr>
            <w:tcW w:w="5532" w:type="dxa"/>
            <w:tcBorders>
              <w:top w:val="single" w:sz="12" w:space="0" w:color="auto"/>
              <w:bottom w:val="single" w:sz="12" w:space="0" w:color="auto"/>
            </w:tcBorders>
          </w:tcPr>
          <w:p w14:paraId="0F9DF988" w14:textId="66C7C6F4" w:rsidR="00EA3ED4" w:rsidRDefault="00EA3ED4" w:rsidP="00B467A5">
            <w:pPr>
              <w:pStyle w:val="Footer"/>
              <w:tabs>
                <w:tab w:val="clear" w:pos="4320"/>
                <w:tab w:val="clear" w:pos="8640"/>
                <w:tab w:val="left" w:pos="7650"/>
              </w:tabs>
              <w:spacing w:before="120" w:after="120"/>
              <w:rPr>
                <w:sz w:val="22"/>
                <w:szCs w:val="22"/>
              </w:rPr>
            </w:pPr>
            <w:r>
              <w:rPr>
                <w:sz w:val="22"/>
                <w:szCs w:val="22"/>
              </w:rPr>
              <w:t xml:space="preserve">Applicants with past experience as a recipient of funds under THDA’s Competitive Grants Program, National Housing Trust Fund Program, Neighborhood Stabilization Program, or HOME Program may receive a point deduction based on the Applicant’s </w:t>
            </w:r>
            <w:r w:rsidR="001E4469">
              <w:rPr>
                <w:sz w:val="22"/>
                <w:szCs w:val="22"/>
              </w:rPr>
              <w:t xml:space="preserve">past </w:t>
            </w:r>
            <w:r>
              <w:rPr>
                <w:sz w:val="22"/>
                <w:szCs w:val="22"/>
              </w:rPr>
              <w:t>failure to:</w:t>
            </w:r>
          </w:p>
          <w:p w14:paraId="2695C121" w14:textId="007FD3C8" w:rsidR="00EA3ED4" w:rsidRDefault="00EA3ED4" w:rsidP="00811C4B">
            <w:pPr>
              <w:pStyle w:val="Footer"/>
              <w:numPr>
                <w:ilvl w:val="0"/>
                <w:numId w:val="22"/>
              </w:numPr>
              <w:tabs>
                <w:tab w:val="clear" w:pos="4320"/>
                <w:tab w:val="clear" w:pos="8640"/>
                <w:tab w:val="left" w:pos="7650"/>
              </w:tabs>
              <w:spacing w:before="120" w:after="120"/>
              <w:ind w:left="391"/>
              <w:rPr>
                <w:sz w:val="22"/>
                <w:szCs w:val="22"/>
              </w:rPr>
            </w:pPr>
            <w:r>
              <w:rPr>
                <w:sz w:val="22"/>
                <w:szCs w:val="22"/>
              </w:rPr>
              <w:t xml:space="preserve">Draw </w:t>
            </w:r>
            <w:r w:rsidR="00811C4B">
              <w:rPr>
                <w:sz w:val="22"/>
                <w:szCs w:val="22"/>
              </w:rPr>
              <w:t>f</w:t>
            </w:r>
            <w:r>
              <w:rPr>
                <w:sz w:val="22"/>
                <w:szCs w:val="22"/>
              </w:rPr>
              <w:t>unds</w:t>
            </w:r>
            <w:r w:rsidR="00811C4B">
              <w:rPr>
                <w:sz w:val="22"/>
                <w:szCs w:val="22"/>
              </w:rPr>
              <w:t xml:space="preserve"> timely and</w:t>
            </w:r>
            <w:r w:rsidR="001E4469">
              <w:rPr>
                <w:sz w:val="22"/>
                <w:szCs w:val="22"/>
              </w:rPr>
              <w:t xml:space="preserve"> acco</w:t>
            </w:r>
            <w:r w:rsidR="00811C4B">
              <w:rPr>
                <w:sz w:val="22"/>
                <w:szCs w:val="22"/>
              </w:rPr>
              <w:t>rding to instructions.</w:t>
            </w:r>
          </w:p>
          <w:p w14:paraId="3C2D747A" w14:textId="42EC426C" w:rsidR="001E4469" w:rsidRDefault="001E4469" w:rsidP="00811C4B">
            <w:pPr>
              <w:pStyle w:val="Footer"/>
              <w:numPr>
                <w:ilvl w:val="0"/>
                <w:numId w:val="22"/>
              </w:numPr>
              <w:tabs>
                <w:tab w:val="clear" w:pos="4320"/>
                <w:tab w:val="clear" w:pos="8640"/>
                <w:tab w:val="left" w:pos="7650"/>
              </w:tabs>
              <w:spacing w:before="120" w:after="120"/>
              <w:ind w:left="391"/>
              <w:rPr>
                <w:sz w:val="22"/>
                <w:szCs w:val="22"/>
              </w:rPr>
            </w:pPr>
            <w:r>
              <w:rPr>
                <w:sz w:val="22"/>
                <w:szCs w:val="22"/>
              </w:rPr>
              <w:t>Complete the project in accordance with requirements</w:t>
            </w:r>
            <w:r w:rsidR="00E170F5">
              <w:rPr>
                <w:sz w:val="22"/>
                <w:szCs w:val="22"/>
              </w:rPr>
              <w:t>.</w:t>
            </w:r>
          </w:p>
          <w:p w14:paraId="6B17714A" w14:textId="1E68D07D" w:rsidR="001E4469" w:rsidRDefault="001E4469" w:rsidP="00811C4B">
            <w:pPr>
              <w:pStyle w:val="Footer"/>
              <w:numPr>
                <w:ilvl w:val="0"/>
                <w:numId w:val="22"/>
              </w:numPr>
              <w:tabs>
                <w:tab w:val="clear" w:pos="4320"/>
                <w:tab w:val="clear" w:pos="8640"/>
                <w:tab w:val="left" w:pos="7650"/>
              </w:tabs>
              <w:spacing w:before="120" w:after="120"/>
              <w:ind w:left="391"/>
              <w:rPr>
                <w:sz w:val="22"/>
                <w:szCs w:val="22"/>
              </w:rPr>
            </w:pPr>
            <w:r>
              <w:rPr>
                <w:sz w:val="22"/>
                <w:szCs w:val="22"/>
              </w:rPr>
              <w:t>Operate the rental housing in accordance THDA guidelines over the compliance period</w:t>
            </w:r>
            <w:r w:rsidR="00E170F5">
              <w:rPr>
                <w:sz w:val="22"/>
                <w:szCs w:val="22"/>
              </w:rPr>
              <w:t>.</w:t>
            </w:r>
          </w:p>
          <w:p w14:paraId="2C111554" w14:textId="2FE0113A" w:rsidR="00E170F5" w:rsidRPr="00811C4B" w:rsidRDefault="001E4469" w:rsidP="00067A23">
            <w:pPr>
              <w:pStyle w:val="Footer"/>
              <w:numPr>
                <w:ilvl w:val="0"/>
                <w:numId w:val="22"/>
              </w:numPr>
              <w:tabs>
                <w:tab w:val="clear" w:pos="4320"/>
                <w:tab w:val="clear" w:pos="8640"/>
                <w:tab w:val="left" w:pos="7650"/>
              </w:tabs>
              <w:spacing w:before="120" w:after="120"/>
              <w:ind w:left="391"/>
              <w:rPr>
                <w:sz w:val="22"/>
                <w:szCs w:val="22"/>
              </w:rPr>
            </w:pPr>
            <w:r>
              <w:rPr>
                <w:sz w:val="22"/>
                <w:szCs w:val="22"/>
              </w:rPr>
              <w:t>Respond timely to resident complaints, contractor concerns, and THDA requests for information and documentation</w:t>
            </w:r>
            <w:r w:rsidR="00E170F5">
              <w:rPr>
                <w:sz w:val="22"/>
                <w:szCs w:val="22"/>
              </w:rPr>
              <w:t>.</w:t>
            </w:r>
          </w:p>
        </w:tc>
        <w:tc>
          <w:tcPr>
            <w:tcW w:w="1276" w:type="dxa"/>
            <w:tcBorders>
              <w:top w:val="single" w:sz="12" w:space="0" w:color="auto"/>
              <w:bottom w:val="single" w:sz="12" w:space="0" w:color="auto"/>
              <w:right w:val="single" w:sz="12" w:space="0" w:color="auto"/>
            </w:tcBorders>
          </w:tcPr>
          <w:p w14:paraId="266BF615" w14:textId="48412212" w:rsidR="00EA3ED4" w:rsidRPr="00030C26" w:rsidRDefault="001E4469" w:rsidP="00030C26">
            <w:pPr>
              <w:pStyle w:val="Footer"/>
              <w:tabs>
                <w:tab w:val="clear" w:pos="4320"/>
                <w:tab w:val="clear" w:pos="8640"/>
                <w:tab w:val="left" w:pos="7650"/>
              </w:tabs>
              <w:spacing w:before="120" w:after="120"/>
              <w:jc w:val="right"/>
              <w:rPr>
                <w:sz w:val="22"/>
                <w:szCs w:val="22"/>
              </w:rPr>
            </w:pPr>
            <w:r>
              <w:rPr>
                <w:sz w:val="22"/>
                <w:szCs w:val="22"/>
              </w:rPr>
              <w:t>Up to 2 points deduction for each concern</w:t>
            </w:r>
          </w:p>
        </w:tc>
      </w:tr>
      <w:tr w:rsidR="00C41F6C" w14:paraId="25714F63" w14:textId="77777777" w:rsidTr="005D3AF0">
        <w:tc>
          <w:tcPr>
            <w:tcW w:w="8894" w:type="dxa"/>
            <w:gridSpan w:val="3"/>
            <w:tcBorders>
              <w:top w:val="single" w:sz="12" w:space="0" w:color="auto"/>
              <w:left w:val="single" w:sz="12" w:space="0" w:color="auto"/>
              <w:bottom w:val="single" w:sz="12" w:space="0" w:color="auto"/>
            </w:tcBorders>
          </w:tcPr>
          <w:p w14:paraId="5EB6EAA9" w14:textId="5B26E90E" w:rsidR="00C41F6C" w:rsidRPr="00C41F6C" w:rsidRDefault="00A674FD" w:rsidP="00B467A5">
            <w:pPr>
              <w:pStyle w:val="Footer"/>
              <w:tabs>
                <w:tab w:val="clear" w:pos="4320"/>
                <w:tab w:val="clear" w:pos="8640"/>
                <w:tab w:val="left" w:pos="7650"/>
              </w:tabs>
              <w:spacing w:before="120" w:after="120"/>
              <w:rPr>
                <w:b/>
                <w:sz w:val="22"/>
                <w:szCs w:val="22"/>
              </w:rPr>
            </w:pPr>
            <w:r>
              <w:rPr>
                <w:b/>
                <w:sz w:val="22"/>
                <w:szCs w:val="22"/>
              </w:rPr>
              <w:lastRenderedPageBreak/>
              <w:t>COMMUNITY SUPPORTS</w:t>
            </w:r>
            <w:r w:rsidR="00E170F5">
              <w:rPr>
                <w:b/>
                <w:sz w:val="22"/>
                <w:szCs w:val="22"/>
              </w:rPr>
              <w:t xml:space="preserve"> </w:t>
            </w:r>
          </w:p>
        </w:tc>
        <w:tc>
          <w:tcPr>
            <w:tcW w:w="1276" w:type="dxa"/>
            <w:tcBorders>
              <w:top w:val="single" w:sz="12" w:space="0" w:color="auto"/>
              <w:bottom w:val="single" w:sz="12" w:space="0" w:color="auto"/>
              <w:right w:val="single" w:sz="12" w:space="0" w:color="auto"/>
            </w:tcBorders>
          </w:tcPr>
          <w:p w14:paraId="2A554CD5" w14:textId="71DC3D4C" w:rsidR="00C41F6C" w:rsidRPr="00C41F6C" w:rsidRDefault="00021BA8" w:rsidP="00C41F6C">
            <w:pPr>
              <w:pStyle w:val="Footer"/>
              <w:tabs>
                <w:tab w:val="clear" w:pos="4320"/>
                <w:tab w:val="clear" w:pos="8640"/>
                <w:tab w:val="left" w:pos="7650"/>
              </w:tabs>
              <w:spacing w:before="120" w:after="120"/>
              <w:jc w:val="right"/>
              <w:rPr>
                <w:b/>
                <w:sz w:val="22"/>
                <w:szCs w:val="22"/>
              </w:rPr>
            </w:pPr>
            <w:r>
              <w:rPr>
                <w:b/>
                <w:sz w:val="22"/>
                <w:szCs w:val="22"/>
              </w:rPr>
              <w:t>14</w:t>
            </w:r>
            <w:r w:rsidR="00C41F6C" w:rsidRPr="00C41F6C">
              <w:rPr>
                <w:b/>
                <w:sz w:val="22"/>
                <w:szCs w:val="22"/>
              </w:rPr>
              <w:t xml:space="preserve"> </w:t>
            </w:r>
            <w:r w:rsidR="00C41F6C">
              <w:rPr>
                <w:b/>
                <w:sz w:val="22"/>
                <w:szCs w:val="22"/>
              </w:rPr>
              <w:t>POINTS</w:t>
            </w:r>
          </w:p>
        </w:tc>
      </w:tr>
      <w:tr w:rsidR="00C41F6C" w14:paraId="4FF46EEF" w14:textId="77777777" w:rsidTr="005D3AF0">
        <w:tc>
          <w:tcPr>
            <w:tcW w:w="10170" w:type="dxa"/>
            <w:gridSpan w:val="4"/>
            <w:tcBorders>
              <w:top w:val="single" w:sz="12" w:space="0" w:color="auto"/>
              <w:left w:val="single" w:sz="12" w:space="0" w:color="auto"/>
              <w:bottom w:val="single" w:sz="12" w:space="0" w:color="auto"/>
              <w:right w:val="single" w:sz="12" w:space="0" w:color="auto"/>
            </w:tcBorders>
          </w:tcPr>
          <w:p w14:paraId="26EF9358" w14:textId="760C9CE8" w:rsidR="00C41F6C" w:rsidRPr="000553F1" w:rsidRDefault="00DE7934" w:rsidP="00AF2618">
            <w:pPr>
              <w:pStyle w:val="Footer"/>
              <w:numPr>
                <w:ilvl w:val="0"/>
                <w:numId w:val="28"/>
              </w:numPr>
              <w:tabs>
                <w:tab w:val="clear" w:pos="4320"/>
                <w:tab w:val="clear" w:pos="8640"/>
                <w:tab w:val="left" w:pos="7650"/>
              </w:tabs>
              <w:spacing w:before="120" w:after="120"/>
              <w:ind w:left="335"/>
              <w:rPr>
                <w:i/>
                <w:sz w:val="22"/>
                <w:szCs w:val="22"/>
              </w:rPr>
            </w:pPr>
            <w:r w:rsidRPr="000553F1">
              <w:rPr>
                <w:i/>
                <w:sz w:val="22"/>
                <w:szCs w:val="22"/>
              </w:rPr>
              <w:t xml:space="preserve">The Applicant proposes housing in a county </w:t>
            </w:r>
            <w:r w:rsidR="00A674FD">
              <w:rPr>
                <w:i/>
                <w:sz w:val="22"/>
                <w:szCs w:val="22"/>
              </w:rPr>
              <w:t>with</w:t>
            </w:r>
            <w:r w:rsidR="000553F1" w:rsidRPr="000553F1">
              <w:rPr>
                <w:i/>
                <w:sz w:val="22"/>
                <w:szCs w:val="22"/>
              </w:rPr>
              <w:t xml:space="preserve"> health, purpose, and community dimension</w:t>
            </w:r>
            <w:r w:rsidR="000553F1">
              <w:rPr>
                <w:i/>
                <w:sz w:val="22"/>
                <w:szCs w:val="22"/>
              </w:rPr>
              <w:t xml:space="preserve"> support</w:t>
            </w:r>
            <w:r w:rsidR="000553F1" w:rsidRPr="000553F1">
              <w:rPr>
                <w:i/>
                <w:sz w:val="22"/>
                <w:szCs w:val="22"/>
              </w:rPr>
              <w:t>s necessary for</w:t>
            </w:r>
            <w:r w:rsidR="00A674FD">
              <w:rPr>
                <w:i/>
                <w:sz w:val="22"/>
                <w:szCs w:val="22"/>
              </w:rPr>
              <w:t xml:space="preserve"> an individual’s </w:t>
            </w:r>
            <w:r w:rsidR="000553F1" w:rsidRPr="000553F1">
              <w:rPr>
                <w:i/>
                <w:sz w:val="22"/>
                <w:szCs w:val="22"/>
              </w:rPr>
              <w:t>successful recovery</w:t>
            </w:r>
            <w:r w:rsidR="00E32156">
              <w:rPr>
                <w:i/>
                <w:sz w:val="22"/>
                <w:szCs w:val="22"/>
              </w:rPr>
              <w:t xml:space="preserve"> from the </w:t>
            </w:r>
            <w:r w:rsidR="004C70FE">
              <w:rPr>
                <w:i/>
                <w:sz w:val="22"/>
                <w:szCs w:val="22"/>
              </w:rPr>
              <w:t xml:space="preserve"> use of opioids or opioid derivatives</w:t>
            </w:r>
            <w:r w:rsidR="000553F1" w:rsidRPr="000553F1">
              <w:rPr>
                <w:i/>
                <w:sz w:val="22"/>
                <w:szCs w:val="22"/>
              </w:rPr>
              <w:t xml:space="preserve">.   </w:t>
            </w:r>
          </w:p>
        </w:tc>
      </w:tr>
      <w:tr w:rsidR="00DE7934" w14:paraId="627CDD38" w14:textId="77777777" w:rsidTr="005D3AF0">
        <w:tc>
          <w:tcPr>
            <w:tcW w:w="357" w:type="dxa"/>
            <w:tcBorders>
              <w:top w:val="single" w:sz="12" w:space="0" w:color="auto"/>
              <w:left w:val="single" w:sz="12" w:space="0" w:color="auto"/>
              <w:bottom w:val="single" w:sz="12" w:space="0" w:color="auto"/>
              <w:right w:val="nil"/>
            </w:tcBorders>
          </w:tcPr>
          <w:p w14:paraId="0D800280" w14:textId="77777777" w:rsidR="00DE7934" w:rsidRPr="00030C26" w:rsidRDefault="00DE7934"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4B8FE753" w14:textId="52D4774B" w:rsidR="00DE7934" w:rsidRPr="00030C26" w:rsidRDefault="000553F1" w:rsidP="00E641AE">
            <w:pPr>
              <w:pStyle w:val="Footer"/>
              <w:numPr>
                <w:ilvl w:val="0"/>
                <w:numId w:val="27"/>
              </w:numPr>
              <w:tabs>
                <w:tab w:val="clear" w:pos="4320"/>
                <w:tab w:val="clear" w:pos="8640"/>
                <w:tab w:val="left" w:pos="7650"/>
              </w:tabs>
              <w:spacing w:before="120" w:after="120"/>
              <w:ind w:left="332"/>
              <w:rPr>
                <w:sz w:val="22"/>
                <w:szCs w:val="22"/>
              </w:rPr>
            </w:pPr>
            <w:r>
              <w:rPr>
                <w:sz w:val="22"/>
                <w:szCs w:val="22"/>
              </w:rPr>
              <w:t xml:space="preserve">Purpose </w:t>
            </w:r>
            <w:r w:rsidR="00A674FD">
              <w:rPr>
                <w:sz w:val="22"/>
                <w:szCs w:val="22"/>
              </w:rPr>
              <w:t xml:space="preserve">&amp; Community </w:t>
            </w:r>
            <w:r>
              <w:rPr>
                <w:sz w:val="22"/>
                <w:szCs w:val="22"/>
              </w:rPr>
              <w:t xml:space="preserve">- Up to </w:t>
            </w:r>
            <w:r w:rsidR="00E641AE">
              <w:rPr>
                <w:sz w:val="22"/>
                <w:szCs w:val="22"/>
              </w:rPr>
              <w:t>7</w:t>
            </w:r>
            <w:r>
              <w:rPr>
                <w:sz w:val="22"/>
                <w:szCs w:val="22"/>
              </w:rPr>
              <w:t xml:space="preserve"> points</w:t>
            </w:r>
          </w:p>
        </w:tc>
        <w:tc>
          <w:tcPr>
            <w:tcW w:w="5532" w:type="dxa"/>
            <w:tcBorders>
              <w:top w:val="single" w:sz="12" w:space="0" w:color="auto"/>
              <w:bottom w:val="single" w:sz="12" w:space="0" w:color="auto"/>
            </w:tcBorders>
          </w:tcPr>
          <w:p w14:paraId="18655C65" w14:textId="77777777" w:rsidR="00DE7934" w:rsidRDefault="000553F1" w:rsidP="000553F1">
            <w:pPr>
              <w:pStyle w:val="Footer"/>
              <w:tabs>
                <w:tab w:val="clear" w:pos="4320"/>
                <w:tab w:val="clear" w:pos="8640"/>
                <w:tab w:val="left" w:pos="7650"/>
              </w:tabs>
              <w:spacing w:before="120" w:after="120"/>
              <w:rPr>
                <w:sz w:val="22"/>
                <w:szCs w:val="22"/>
              </w:rPr>
            </w:pPr>
            <w:r>
              <w:rPr>
                <w:sz w:val="22"/>
                <w:szCs w:val="22"/>
              </w:rPr>
              <w:t xml:space="preserve">The Applicant proposes housing in a county that has an unemployment rate equal to or less than the statewide unemployment rate.  </w:t>
            </w:r>
          </w:p>
          <w:p w14:paraId="70554FDB" w14:textId="77777777" w:rsidR="00E641AE" w:rsidRDefault="00E641AE" w:rsidP="000553F1">
            <w:pPr>
              <w:pStyle w:val="Footer"/>
              <w:tabs>
                <w:tab w:val="clear" w:pos="4320"/>
                <w:tab w:val="clear" w:pos="8640"/>
                <w:tab w:val="left" w:pos="7650"/>
              </w:tabs>
              <w:spacing w:before="120" w:after="120"/>
              <w:rPr>
                <w:sz w:val="22"/>
                <w:szCs w:val="22"/>
              </w:rPr>
            </w:pPr>
            <w:r>
              <w:rPr>
                <w:sz w:val="22"/>
                <w:szCs w:val="22"/>
              </w:rPr>
              <w:t>OR</w:t>
            </w:r>
          </w:p>
          <w:p w14:paraId="6AAA4A7F" w14:textId="5B43FD86" w:rsidR="00E641AE" w:rsidRPr="00030C26" w:rsidRDefault="00E641AE" w:rsidP="00E641AE">
            <w:pPr>
              <w:pStyle w:val="Footer"/>
              <w:tabs>
                <w:tab w:val="clear" w:pos="4320"/>
                <w:tab w:val="clear" w:pos="8640"/>
                <w:tab w:val="left" w:pos="7650"/>
              </w:tabs>
              <w:spacing w:before="120" w:after="120"/>
              <w:rPr>
                <w:sz w:val="22"/>
                <w:szCs w:val="22"/>
              </w:rPr>
            </w:pPr>
            <w:r>
              <w:rPr>
                <w:sz w:val="22"/>
                <w:szCs w:val="22"/>
              </w:rPr>
              <w:t>The Applicant proposes housing in a county with an unemployment rate higher than the statewide unemployment rate and the Applicant demonstrates that partnerships are established to link tenants of the proposed housing to employment.</w:t>
            </w:r>
          </w:p>
        </w:tc>
        <w:tc>
          <w:tcPr>
            <w:tcW w:w="1276" w:type="dxa"/>
            <w:tcBorders>
              <w:top w:val="single" w:sz="12" w:space="0" w:color="auto"/>
              <w:bottom w:val="single" w:sz="12" w:space="0" w:color="auto"/>
              <w:right w:val="single" w:sz="12" w:space="0" w:color="auto"/>
            </w:tcBorders>
          </w:tcPr>
          <w:p w14:paraId="21F8D7D5" w14:textId="2C7839B4" w:rsidR="00DE7934" w:rsidRPr="00030C26" w:rsidRDefault="000553F1" w:rsidP="00021BA8">
            <w:pPr>
              <w:pStyle w:val="Footer"/>
              <w:tabs>
                <w:tab w:val="clear" w:pos="4320"/>
                <w:tab w:val="clear" w:pos="8640"/>
                <w:tab w:val="left" w:pos="7650"/>
              </w:tabs>
              <w:spacing w:before="120" w:after="120"/>
              <w:jc w:val="right"/>
              <w:rPr>
                <w:sz w:val="22"/>
                <w:szCs w:val="22"/>
              </w:rPr>
            </w:pPr>
            <w:r>
              <w:rPr>
                <w:sz w:val="22"/>
                <w:szCs w:val="22"/>
              </w:rPr>
              <w:t xml:space="preserve">Up to </w:t>
            </w:r>
            <w:r w:rsidR="00021BA8">
              <w:rPr>
                <w:sz w:val="22"/>
                <w:szCs w:val="22"/>
              </w:rPr>
              <w:t xml:space="preserve">7 </w:t>
            </w:r>
            <w:r>
              <w:rPr>
                <w:sz w:val="22"/>
                <w:szCs w:val="22"/>
              </w:rPr>
              <w:t>points</w:t>
            </w:r>
          </w:p>
        </w:tc>
      </w:tr>
      <w:tr w:rsidR="00DE7934" w14:paraId="1F595B7E" w14:textId="77777777" w:rsidTr="005D3AF0">
        <w:tc>
          <w:tcPr>
            <w:tcW w:w="357" w:type="dxa"/>
            <w:tcBorders>
              <w:top w:val="single" w:sz="12" w:space="0" w:color="auto"/>
              <w:left w:val="single" w:sz="12" w:space="0" w:color="auto"/>
              <w:bottom w:val="single" w:sz="12" w:space="0" w:color="auto"/>
              <w:right w:val="nil"/>
            </w:tcBorders>
          </w:tcPr>
          <w:p w14:paraId="28CB300A" w14:textId="77777777" w:rsidR="00DE7934" w:rsidRPr="00030C26" w:rsidRDefault="00DE7934"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65A470C1" w14:textId="37A6FC78" w:rsidR="00DE7934" w:rsidRPr="00030C26" w:rsidRDefault="000553F1" w:rsidP="00E641AE">
            <w:pPr>
              <w:pStyle w:val="Footer"/>
              <w:numPr>
                <w:ilvl w:val="0"/>
                <w:numId w:val="27"/>
              </w:numPr>
              <w:tabs>
                <w:tab w:val="clear" w:pos="4320"/>
                <w:tab w:val="clear" w:pos="8640"/>
                <w:tab w:val="left" w:pos="7650"/>
              </w:tabs>
              <w:spacing w:before="120" w:after="120"/>
              <w:ind w:left="332"/>
              <w:rPr>
                <w:sz w:val="22"/>
                <w:szCs w:val="22"/>
              </w:rPr>
            </w:pPr>
            <w:r>
              <w:rPr>
                <w:sz w:val="22"/>
                <w:szCs w:val="22"/>
              </w:rPr>
              <w:t xml:space="preserve">Health </w:t>
            </w:r>
            <w:r w:rsidR="00A674FD">
              <w:rPr>
                <w:sz w:val="22"/>
                <w:szCs w:val="22"/>
              </w:rPr>
              <w:t>–</w:t>
            </w:r>
            <w:r>
              <w:rPr>
                <w:sz w:val="22"/>
                <w:szCs w:val="22"/>
              </w:rPr>
              <w:t xml:space="preserve"> </w:t>
            </w:r>
            <w:r w:rsidR="00A674FD">
              <w:rPr>
                <w:sz w:val="22"/>
                <w:szCs w:val="22"/>
              </w:rPr>
              <w:t xml:space="preserve">Up to </w:t>
            </w:r>
            <w:r w:rsidR="00E641AE">
              <w:rPr>
                <w:sz w:val="22"/>
                <w:szCs w:val="22"/>
              </w:rPr>
              <w:t>7</w:t>
            </w:r>
            <w:r w:rsidR="00A674FD">
              <w:rPr>
                <w:sz w:val="22"/>
                <w:szCs w:val="22"/>
              </w:rPr>
              <w:t xml:space="preserve"> points</w:t>
            </w:r>
          </w:p>
        </w:tc>
        <w:tc>
          <w:tcPr>
            <w:tcW w:w="5532" w:type="dxa"/>
            <w:tcBorders>
              <w:top w:val="single" w:sz="12" w:space="0" w:color="auto"/>
              <w:bottom w:val="single" w:sz="12" w:space="0" w:color="auto"/>
            </w:tcBorders>
          </w:tcPr>
          <w:p w14:paraId="70868D54" w14:textId="0BE460EE" w:rsidR="00DE7934" w:rsidRPr="00030C26" w:rsidRDefault="000553F1" w:rsidP="005D09A1">
            <w:pPr>
              <w:pStyle w:val="Footer"/>
              <w:tabs>
                <w:tab w:val="clear" w:pos="4320"/>
                <w:tab w:val="clear" w:pos="8640"/>
                <w:tab w:val="left" w:pos="7650"/>
              </w:tabs>
              <w:spacing w:before="120" w:after="120"/>
              <w:rPr>
                <w:sz w:val="22"/>
                <w:szCs w:val="22"/>
              </w:rPr>
            </w:pPr>
            <w:r>
              <w:rPr>
                <w:sz w:val="22"/>
                <w:szCs w:val="22"/>
              </w:rPr>
              <w:t>The Applicant propo</w:t>
            </w:r>
            <w:r w:rsidR="00A674FD">
              <w:rPr>
                <w:sz w:val="22"/>
                <w:szCs w:val="22"/>
              </w:rPr>
              <w:t xml:space="preserve">ses housing in a </w:t>
            </w:r>
            <w:r w:rsidR="00E641AE">
              <w:rPr>
                <w:sz w:val="22"/>
                <w:szCs w:val="22"/>
              </w:rPr>
              <w:t>county or adjacent county in which a drug &amp; alcohol treatment center</w:t>
            </w:r>
            <w:r w:rsidR="005D09A1">
              <w:rPr>
                <w:sz w:val="22"/>
                <w:szCs w:val="22"/>
              </w:rPr>
              <w:t xml:space="preserve"> or a mental health treatment </w:t>
            </w:r>
            <w:r w:rsidR="00E641AE">
              <w:rPr>
                <w:sz w:val="22"/>
                <w:szCs w:val="22"/>
              </w:rPr>
              <w:t xml:space="preserve">is located.  </w:t>
            </w:r>
            <w:r w:rsidR="00A674FD">
              <w:rPr>
                <w:sz w:val="22"/>
                <w:szCs w:val="22"/>
              </w:rPr>
              <w:t xml:space="preserve"> </w:t>
            </w:r>
          </w:p>
        </w:tc>
        <w:tc>
          <w:tcPr>
            <w:tcW w:w="1276" w:type="dxa"/>
            <w:tcBorders>
              <w:top w:val="single" w:sz="12" w:space="0" w:color="auto"/>
              <w:bottom w:val="single" w:sz="12" w:space="0" w:color="auto"/>
              <w:right w:val="single" w:sz="12" w:space="0" w:color="auto"/>
            </w:tcBorders>
          </w:tcPr>
          <w:p w14:paraId="74E8BAF6" w14:textId="532930EF" w:rsidR="00DE7934" w:rsidRPr="00030C26" w:rsidRDefault="00A674FD" w:rsidP="00021BA8">
            <w:pPr>
              <w:pStyle w:val="Footer"/>
              <w:tabs>
                <w:tab w:val="clear" w:pos="4320"/>
                <w:tab w:val="clear" w:pos="8640"/>
                <w:tab w:val="left" w:pos="7650"/>
              </w:tabs>
              <w:spacing w:before="120" w:after="120"/>
              <w:jc w:val="right"/>
              <w:rPr>
                <w:sz w:val="22"/>
                <w:szCs w:val="22"/>
              </w:rPr>
            </w:pPr>
            <w:r>
              <w:rPr>
                <w:sz w:val="22"/>
                <w:szCs w:val="22"/>
              </w:rPr>
              <w:t xml:space="preserve">Up to </w:t>
            </w:r>
            <w:r w:rsidR="00021BA8">
              <w:rPr>
                <w:sz w:val="22"/>
                <w:szCs w:val="22"/>
              </w:rPr>
              <w:t>7</w:t>
            </w:r>
            <w:r>
              <w:rPr>
                <w:sz w:val="22"/>
                <w:szCs w:val="22"/>
              </w:rPr>
              <w:t xml:space="preserve"> points</w:t>
            </w:r>
          </w:p>
        </w:tc>
      </w:tr>
      <w:tr w:rsidR="00C6559D" w14:paraId="4279E16E" w14:textId="77777777" w:rsidTr="00257BCB">
        <w:tc>
          <w:tcPr>
            <w:tcW w:w="8894" w:type="dxa"/>
            <w:gridSpan w:val="3"/>
            <w:tcBorders>
              <w:top w:val="single" w:sz="12" w:space="0" w:color="auto"/>
              <w:left w:val="single" w:sz="12" w:space="0" w:color="auto"/>
              <w:bottom w:val="single" w:sz="12" w:space="0" w:color="auto"/>
            </w:tcBorders>
          </w:tcPr>
          <w:p w14:paraId="2011555B" w14:textId="6E516D8A" w:rsidR="00C6559D" w:rsidRPr="00C6559D" w:rsidRDefault="00C6559D" w:rsidP="00B467A5">
            <w:pPr>
              <w:pStyle w:val="Footer"/>
              <w:tabs>
                <w:tab w:val="clear" w:pos="4320"/>
                <w:tab w:val="clear" w:pos="8640"/>
                <w:tab w:val="left" w:pos="7650"/>
              </w:tabs>
              <w:spacing w:before="120" w:after="120"/>
              <w:rPr>
                <w:b/>
                <w:sz w:val="22"/>
                <w:szCs w:val="22"/>
              </w:rPr>
            </w:pPr>
            <w:r w:rsidRPr="00C6559D">
              <w:rPr>
                <w:b/>
                <w:sz w:val="22"/>
                <w:szCs w:val="22"/>
              </w:rPr>
              <w:t>NEED</w:t>
            </w:r>
          </w:p>
        </w:tc>
        <w:tc>
          <w:tcPr>
            <w:tcW w:w="1276" w:type="dxa"/>
            <w:tcBorders>
              <w:top w:val="single" w:sz="12" w:space="0" w:color="auto"/>
              <w:bottom w:val="single" w:sz="12" w:space="0" w:color="auto"/>
              <w:right w:val="single" w:sz="12" w:space="0" w:color="auto"/>
            </w:tcBorders>
          </w:tcPr>
          <w:p w14:paraId="5404428C" w14:textId="01E1E382" w:rsidR="00C6559D" w:rsidRPr="00C6559D" w:rsidRDefault="00C6559D" w:rsidP="00030C26">
            <w:pPr>
              <w:pStyle w:val="Footer"/>
              <w:tabs>
                <w:tab w:val="clear" w:pos="4320"/>
                <w:tab w:val="clear" w:pos="8640"/>
                <w:tab w:val="left" w:pos="7650"/>
              </w:tabs>
              <w:spacing w:before="120" w:after="120"/>
              <w:jc w:val="right"/>
              <w:rPr>
                <w:b/>
                <w:sz w:val="22"/>
                <w:szCs w:val="22"/>
              </w:rPr>
            </w:pPr>
            <w:r w:rsidRPr="00C6559D">
              <w:rPr>
                <w:b/>
                <w:sz w:val="22"/>
                <w:szCs w:val="22"/>
              </w:rPr>
              <w:t>6 POINTS</w:t>
            </w:r>
          </w:p>
        </w:tc>
      </w:tr>
      <w:tr w:rsidR="00C6559D" w14:paraId="3781C53B" w14:textId="77777777" w:rsidTr="00257BCB">
        <w:tc>
          <w:tcPr>
            <w:tcW w:w="10170" w:type="dxa"/>
            <w:gridSpan w:val="4"/>
            <w:tcBorders>
              <w:top w:val="single" w:sz="12" w:space="0" w:color="auto"/>
              <w:left w:val="single" w:sz="12" w:space="0" w:color="auto"/>
              <w:bottom w:val="single" w:sz="12" w:space="0" w:color="auto"/>
              <w:right w:val="single" w:sz="12" w:space="0" w:color="auto"/>
            </w:tcBorders>
          </w:tcPr>
          <w:p w14:paraId="6C2A8D75" w14:textId="01461BDC" w:rsidR="00C6559D" w:rsidRPr="00021BA8" w:rsidRDefault="00C6559D" w:rsidP="006B5312">
            <w:pPr>
              <w:pStyle w:val="Footer"/>
              <w:numPr>
                <w:ilvl w:val="0"/>
                <w:numId w:val="28"/>
              </w:numPr>
              <w:tabs>
                <w:tab w:val="clear" w:pos="4320"/>
                <w:tab w:val="clear" w:pos="8640"/>
                <w:tab w:val="left" w:pos="7650"/>
              </w:tabs>
              <w:spacing w:before="120" w:after="120"/>
              <w:ind w:left="330"/>
              <w:rPr>
                <w:b/>
                <w:i/>
                <w:sz w:val="22"/>
                <w:szCs w:val="22"/>
              </w:rPr>
            </w:pPr>
            <w:r w:rsidRPr="00021BA8">
              <w:rPr>
                <w:i/>
                <w:sz w:val="22"/>
                <w:szCs w:val="22"/>
              </w:rPr>
              <w:t xml:space="preserve">The Applicant proposes housing in a county evidencing </w:t>
            </w:r>
            <w:r w:rsidR="00021BA8" w:rsidRPr="00021BA8">
              <w:rPr>
                <w:i/>
                <w:sz w:val="22"/>
                <w:szCs w:val="22"/>
              </w:rPr>
              <w:t xml:space="preserve">a high </w:t>
            </w:r>
            <w:r w:rsidR="006B5312">
              <w:rPr>
                <w:i/>
                <w:sz w:val="22"/>
                <w:szCs w:val="22"/>
              </w:rPr>
              <w:t>need</w:t>
            </w:r>
            <w:r w:rsidR="00021BA8" w:rsidRPr="00021BA8">
              <w:rPr>
                <w:i/>
                <w:sz w:val="22"/>
                <w:szCs w:val="22"/>
              </w:rPr>
              <w:t>.</w:t>
            </w:r>
          </w:p>
        </w:tc>
      </w:tr>
      <w:tr w:rsidR="00021BA8" w14:paraId="3617AB77" w14:textId="77777777" w:rsidTr="00257BCB">
        <w:tc>
          <w:tcPr>
            <w:tcW w:w="357" w:type="dxa"/>
            <w:tcBorders>
              <w:top w:val="single" w:sz="12" w:space="0" w:color="auto"/>
              <w:left w:val="single" w:sz="12" w:space="0" w:color="auto"/>
              <w:bottom w:val="single" w:sz="12" w:space="0" w:color="auto"/>
            </w:tcBorders>
          </w:tcPr>
          <w:p w14:paraId="0D86D012" w14:textId="77777777" w:rsidR="00021BA8" w:rsidRPr="00030C26" w:rsidRDefault="00021BA8"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bottom w:val="single" w:sz="12" w:space="0" w:color="auto"/>
            </w:tcBorders>
          </w:tcPr>
          <w:p w14:paraId="12774EFF" w14:textId="1C7879F9" w:rsidR="00021BA8" w:rsidRPr="00030C26" w:rsidRDefault="00691DD8" w:rsidP="00180F17">
            <w:pPr>
              <w:pStyle w:val="Footer"/>
              <w:numPr>
                <w:ilvl w:val="0"/>
                <w:numId w:val="29"/>
              </w:numPr>
              <w:tabs>
                <w:tab w:val="clear" w:pos="4320"/>
                <w:tab w:val="clear" w:pos="8640"/>
                <w:tab w:val="left" w:pos="7650"/>
              </w:tabs>
              <w:spacing w:before="120" w:after="120"/>
              <w:ind w:left="331"/>
              <w:rPr>
                <w:sz w:val="22"/>
                <w:szCs w:val="22"/>
              </w:rPr>
            </w:pPr>
            <w:r>
              <w:rPr>
                <w:sz w:val="22"/>
                <w:szCs w:val="22"/>
              </w:rPr>
              <w:t>Opioid</w:t>
            </w:r>
            <w:r w:rsidR="00021BA8">
              <w:rPr>
                <w:sz w:val="22"/>
                <w:szCs w:val="22"/>
              </w:rPr>
              <w:t xml:space="preserve"> Use Prevalence –</w:t>
            </w:r>
            <w:r w:rsidR="00327A68">
              <w:rPr>
                <w:sz w:val="22"/>
                <w:szCs w:val="22"/>
              </w:rPr>
              <w:t xml:space="preserve"> </w:t>
            </w:r>
            <w:r w:rsidR="00021BA8">
              <w:rPr>
                <w:sz w:val="22"/>
                <w:szCs w:val="22"/>
              </w:rPr>
              <w:t>4 points.</w:t>
            </w:r>
          </w:p>
        </w:tc>
        <w:tc>
          <w:tcPr>
            <w:tcW w:w="5532" w:type="dxa"/>
            <w:tcBorders>
              <w:top w:val="single" w:sz="12" w:space="0" w:color="auto"/>
              <w:bottom w:val="single" w:sz="12" w:space="0" w:color="auto"/>
            </w:tcBorders>
          </w:tcPr>
          <w:p w14:paraId="061E445A" w14:textId="1BC2326F" w:rsidR="00021BA8" w:rsidRPr="00030C26" w:rsidRDefault="00021BA8" w:rsidP="005D09A1">
            <w:pPr>
              <w:pStyle w:val="Footer"/>
              <w:tabs>
                <w:tab w:val="clear" w:pos="4320"/>
                <w:tab w:val="clear" w:pos="8640"/>
                <w:tab w:val="left" w:pos="7650"/>
              </w:tabs>
              <w:spacing w:before="120" w:after="120"/>
              <w:rPr>
                <w:sz w:val="22"/>
                <w:szCs w:val="22"/>
              </w:rPr>
            </w:pPr>
            <w:r>
              <w:rPr>
                <w:sz w:val="22"/>
                <w:szCs w:val="22"/>
              </w:rPr>
              <w:t xml:space="preserve">The Applicant proposes housing in a county with a high prevalence of </w:t>
            </w:r>
            <w:r w:rsidR="005D09A1">
              <w:rPr>
                <w:sz w:val="22"/>
                <w:szCs w:val="22"/>
              </w:rPr>
              <w:t>opioid</w:t>
            </w:r>
            <w:r>
              <w:rPr>
                <w:sz w:val="22"/>
                <w:szCs w:val="22"/>
              </w:rPr>
              <w:t xml:space="preserve"> use. </w:t>
            </w:r>
          </w:p>
        </w:tc>
        <w:tc>
          <w:tcPr>
            <w:tcW w:w="1276" w:type="dxa"/>
            <w:tcBorders>
              <w:top w:val="single" w:sz="12" w:space="0" w:color="auto"/>
              <w:bottom w:val="single" w:sz="12" w:space="0" w:color="auto"/>
              <w:right w:val="single" w:sz="12" w:space="0" w:color="auto"/>
            </w:tcBorders>
          </w:tcPr>
          <w:p w14:paraId="5230D2E6" w14:textId="58B33636" w:rsidR="00021BA8" w:rsidRPr="00030C26" w:rsidRDefault="00021BA8" w:rsidP="00030C26">
            <w:pPr>
              <w:pStyle w:val="Footer"/>
              <w:tabs>
                <w:tab w:val="clear" w:pos="4320"/>
                <w:tab w:val="clear" w:pos="8640"/>
                <w:tab w:val="left" w:pos="7650"/>
              </w:tabs>
              <w:spacing w:before="120" w:after="120"/>
              <w:jc w:val="right"/>
              <w:rPr>
                <w:sz w:val="22"/>
                <w:szCs w:val="22"/>
              </w:rPr>
            </w:pPr>
            <w:r>
              <w:rPr>
                <w:sz w:val="22"/>
                <w:szCs w:val="22"/>
              </w:rPr>
              <w:t>4 points</w:t>
            </w:r>
          </w:p>
        </w:tc>
      </w:tr>
      <w:tr w:rsidR="006B5312" w14:paraId="749EB817" w14:textId="77777777" w:rsidTr="00257BCB">
        <w:tc>
          <w:tcPr>
            <w:tcW w:w="357" w:type="dxa"/>
            <w:tcBorders>
              <w:top w:val="single" w:sz="12" w:space="0" w:color="auto"/>
              <w:left w:val="single" w:sz="12" w:space="0" w:color="auto"/>
              <w:bottom w:val="single" w:sz="12" w:space="0" w:color="auto"/>
            </w:tcBorders>
          </w:tcPr>
          <w:p w14:paraId="53E45391" w14:textId="77777777" w:rsidR="006B5312" w:rsidRPr="00030C26" w:rsidRDefault="006B5312" w:rsidP="00B467A5">
            <w:pPr>
              <w:pStyle w:val="Footer"/>
              <w:tabs>
                <w:tab w:val="clear" w:pos="4320"/>
                <w:tab w:val="clear" w:pos="8640"/>
                <w:tab w:val="left" w:pos="7650"/>
              </w:tabs>
              <w:spacing w:before="120" w:after="120"/>
              <w:rPr>
                <w:sz w:val="22"/>
                <w:szCs w:val="22"/>
              </w:rPr>
            </w:pPr>
          </w:p>
        </w:tc>
        <w:tc>
          <w:tcPr>
            <w:tcW w:w="3005" w:type="dxa"/>
            <w:tcBorders>
              <w:top w:val="single" w:sz="12" w:space="0" w:color="auto"/>
              <w:bottom w:val="single" w:sz="12" w:space="0" w:color="auto"/>
            </w:tcBorders>
          </w:tcPr>
          <w:p w14:paraId="7966CE65" w14:textId="4D2E0A38" w:rsidR="006B5312" w:rsidRDefault="00491569" w:rsidP="00491569">
            <w:pPr>
              <w:pStyle w:val="Footer"/>
              <w:numPr>
                <w:ilvl w:val="0"/>
                <w:numId w:val="29"/>
              </w:numPr>
              <w:tabs>
                <w:tab w:val="clear" w:pos="4320"/>
                <w:tab w:val="clear" w:pos="8640"/>
                <w:tab w:val="left" w:pos="7650"/>
              </w:tabs>
              <w:spacing w:before="120" w:after="120"/>
              <w:ind w:left="331"/>
              <w:rPr>
                <w:sz w:val="22"/>
                <w:szCs w:val="22"/>
              </w:rPr>
            </w:pPr>
            <w:r>
              <w:rPr>
                <w:sz w:val="22"/>
                <w:szCs w:val="22"/>
              </w:rPr>
              <w:t>Economic Status Designation – 2 points</w:t>
            </w:r>
          </w:p>
        </w:tc>
        <w:tc>
          <w:tcPr>
            <w:tcW w:w="5532" w:type="dxa"/>
            <w:tcBorders>
              <w:top w:val="single" w:sz="12" w:space="0" w:color="auto"/>
              <w:bottom w:val="single" w:sz="12" w:space="0" w:color="auto"/>
            </w:tcBorders>
          </w:tcPr>
          <w:p w14:paraId="7808E808" w14:textId="7F48CD06" w:rsidR="006B5312" w:rsidRDefault="00327A68" w:rsidP="00491569">
            <w:pPr>
              <w:pStyle w:val="Footer"/>
              <w:tabs>
                <w:tab w:val="clear" w:pos="4320"/>
                <w:tab w:val="clear" w:pos="8640"/>
                <w:tab w:val="left" w:pos="7650"/>
              </w:tabs>
              <w:spacing w:before="120" w:after="120"/>
              <w:rPr>
                <w:sz w:val="22"/>
                <w:szCs w:val="22"/>
              </w:rPr>
            </w:pPr>
            <w:r>
              <w:rPr>
                <w:sz w:val="22"/>
                <w:szCs w:val="22"/>
              </w:rPr>
              <w:t xml:space="preserve">For FY2020, the Appalachian Regional Commission designates </w:t>
            </w:r>
            <w:r w:rsidR="00491569">
              <w:rPr>
                <w:sz w:val="22"/>
                <w:szCs w:val="22"/>
              </w:rPr>
              <w:t>a c</w:t>
            </w:r>
            <w:r>
              <w:rPr>
                <w:sz w:val="22"/>
                <w:szCs w:val="22"/>
              </w:rPr>
              <w:t>ounty</w:t>
            </w:r>
            <w:r w:rsidR="00541975">
              <w:rPr>
                <w:sz w:val="22"/>
                <w:szCs w:val="22"/>
              </w:rPr>
              <w:t xml:space="preserve"> in which the housing will be located</w:t>
            </w:r>
            <w:r>
              <w:rPr>
                <w:sz w:val="22"/>
                <w:szCs w:val="22"/>
              </w:rPr>
              <w:t xml:space="preserve"> as either Economically Distressed or At Risk.   </w:t>
            </w:r>
          </w:p>
        </w:tc>
        <w:tc>
          <w:tcPr>
            <w:tcW w:w="1276" w:type="dxa"/>
            <w:tcBorders>
              <w:top w:val="single" w:sz="12" w:space="0" w:color="auto"/>
              <w:bottom w:val="single" w:sz="12" w:space="0" w:color="auto"/>
              <w:right w:val="single" w:sz="12" w:space="0" w:color="auto"/>
            </w:tcBorders>
          </w:tcPr>
          <w:p w14:paraId="08BA781D" w14:textId="7CB5776B" w:rsidR="006B5312" w:rsidRDefault="00327A68" w:rsidP="00030C26">
            <w:pPr>
              <w:pStyle w:val="Footer"/>
              <w:tabs>
                <w:tab w:val="clear" w:pos="4320"/>
                <w:tab w:val="clear" w:pos="8640"/>
                <w:tab w:val="left" w:pos="7650"/>
              </w:tabs>
              <w:spacing w:before="120" w:after="120"/>
              <w:jc w:val="right"/>
              <w:rPr>
                <w:sz w:val="22"/>
                <w:szCs w:val="22"/>
              </w:rPr>
            </w:pPr>
            <w:r>
              <w:rPr>
                <w:sz w:val="22"/>
                <w:szCs w:val="22"/>
              </w:rPr>
              <w:t>2 points</w:t>
            </w:r>
          </w:p>
        </w:tc>
      </w:tr>
    </w:tbl>
    <w:p w14:paraId="37FC0256" w14:textId="77777777" w:rsidR="00030C26" w:rsidRDefault="00030C26" w:rsidP="00B467A5">
      <w:pPr>
        <w:pStyle w:val="Footer"/>
        <w:tabs>
          <w:tab w:val="clear" w:pos="4320"/>
          <w:tab w:val="clear" w:pos="8640"/>
          <w:tab w:val="left" w:pos="7650"/>
        </w:tabs>
        <w:spacing w:before="120" w:after="120"/>
        <w:ind w:left="720" w:hanging="720"/>
        <w:rPr>
          <w:b/>
          <w:sz w:val="24"/>
          <w:szCs w:val="24"/>
        </w:rPr>
      </w:pPr>
    </w:p>
    <w:p w14:paraId="7761BCA8" w14:textId="77777777" w:rsidR="00030C26" w:rsidRDefault="00030C26" w:rsidP="00B467A5">
      <w:pPr>
        <w:pStyle w:val="Footer"/>
        <w:tabs>
          <w:tab w:val="clear" w:pos="4320"/>
          <w:tab w:val="clear" w:pos="8640"/>
          <w:tab w:val="left" w:pos="7650"/>
        </w:tabs>
        <w:spacing w:before="120" w:after="120"/>
        <w:ind w:left="720" w:hanging="720"/>
        <w:rPr>
          <w:b/>
          <w:sz w:val="24"/>
          <w:szCs w:val="24"/>
        </w:rPr>
      </w:pPr>
    </w:p>
    <w:sectPr w:rsidR="00030C26" w:rsidSect="00B82F3E">
      <w:footerReference w:type="even" r:id="rId12"/>
      <w:footerReference w:type="default" r:id="rId13"/>
      <w:headerReference w:type="first" r:id="rId14"/>
      <w:footerReference w:type="first" r:id="rId15"/>
      <w:footnotePr>
        <w:numRestart w:val="eachSect"/>
      </w:footnotePr>
      <w:pgSz w:w="12240" w:h="15840"/>
      <w:pgMar w:top="1008" w:right="1296" w:bottom="1152"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6C4C" w14:textId="77777777" w:rsidR="005C3776" w:rsidRDefault="005C3776">
      <w:r>
        <w:separator/>
      </w:r>
    </w:p>
  </w:endnote>
  <w:endnote w:type="continuationSeparator" w:id="0">
    <w:p w14:paraId="0EDC99AD" w14:textId="77777777" w:rsidR="005C3776" w:rsidRDefault="005C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793C" w14:textId="77777777" w:rsidR="00E651FE" w:rsidRDefault="00E651FE">
    <w:pPr>
      <w:tabs>
        <w:tab w:val="left" w:pos="5580"/>
      </w:tabs>
      <w:spacing w:line="240" w:lineRule="exact"/>
      <w:rPr>
        <w:rFonts w:ascii="Palatino" w:hAnsi="Palatino"/>
        <w:sz w:val="16"/>
      </w:rPr>
    </w:pPr>
  </w:p>
  <w:p w14:paraId="18BFD628" w14:textId="77777777" w:rsidR="00E651FE" w:rsidRDefault="00E651FE">
    <w:pPr>
      <w:pBdr>
        <w:top w:val="single" w:sz="4" w:space="1" w:color="auto"/>
      </w:pBdr>
      <w:tabs>
        <w:tab w:val="left" w:pos="5580"/>
      </w:tabs>
      <w:spacing w:line="240" w:lineRule="exact"/>
      <w:rPr>
        <w:rFonts w:ascii="Palatino" w:hAnsi="Palatino"/>
        <w:sz w:val="16"/>
      </w:rPr>
    </w:pPr>
  </w:p>
  <w:p w14:paraId="12876A77" w14:textId="77777777" w:rsidR="00E651FE" w:rsidRDefault="00E651FE">
    <w:pPr>
      <w:tabs>
        <w:tab w:val="left" w:pos="5580"/>
      </w:tabs>
      <w:spacing w:line="240" w:lineRule="exact"/>
      <w:rPr>
        <w:rFonts w:ascii="Palatino" w:hAnsi="Palatino"/>
        <w:sz w:val="16"/>
      </w:rPr>
    </w:pPr>
    <w:r>
      <w:rPr>
        <w:rFonts w:ascii="Palatino" w:hAnsi="Palatino"/>
        <w:sz w:val="16"/>
      </w:rPr>
      <w:t>FY 2000 Program Description for HOME and THDA Grant Programs</w:t>
    </w:r>
    <w:r>
      <w:rPr>
        <w:rFonts w:ascii="Palatino" w:hAnsi="Palatino"/>
        <w:sz w:val="16"/>
      </w:rPr>
      <w:tab/>
      <w:t xml:space="preserve">Page </w:t>
    </w:r>
    <w:r>
      <w:rPr>
        <w:rFonts w:ascii="Palatino" w:hAnsi="Palatino"/>
        <w:sz w:val="16"/>
      </w:rPr>
      <w:pgNum/>
    </w:r>
    <w:r>
      <w:rPr>
        <w:rFonts w:ascii="Palatino" w:hAnsi="Palatino"/>
        <w:sz w:val="16"/>
      </w:rPr>
      <w:tab/>
    </w:r>
    <w:r>
      <w:rPr>
        <w:rFonts w:ascii="Palatino" w:hAnsi="Palatino"/>
        <w:sz w:val="16"/>
      </w:rPr>
      <w:tab/>
    </w:r>
    <w:r>
      <w:rPr>
        <w:rFonts w:ascii="Palatino" w:hAnsi="Palatino"/>
        <w:sz w:val="16"/>
      </w:rPr>
      <w:tab/>
    </w:r>
    <w:r>
      <w:rPr>
        <w:sz w:val="16"/>
      </w:rPr>
      <w:t>HO 0415 (Revised 11/99) RDA2437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5C8A" w14:textId="77777777" w:rsidR="00E651FE" w:rsidRDefault="00E651FE" w:rsidP="00143C6B">
    <w:pPr>
      <w:tabs>
        <w:tab w:val="left" w:pos="4320"/>
      </w:tabs>
      <w:rPr>
        <w:rFonts w:ascii="Palatino" w:hAnsi="Palatino"/>
        <w:sz w:val="16"/>
      </w:rPr>
    </w:pPr>
    <w:r>
      <w:rPr>
        <w:rFonts w:ascii="Palatino" w:hAnsi="Palatino"/>
        <w:sz w:val="16"/>
      </w:rPr>
      <w:t>________________________________________________________________________________________________________________________</w:t>
    </w:r>
  </w:p>
  <w:p w14:paraId="6A466762" w14:textId="5F7430AC" w:rsidR="00E651FE" w:rsidRPr="00C819E8" w:rsidRDefault="00E651FE" w:rsidP="00C01438">
    <w:pPr>
      <w:tabs>
        <w:tab w:val="left" w:pos="4680"/>
        <w:tab w:val="left" w:pos="8100"/>
      </w:tabs>
      <w:spacing w:line="240" w:lineRule="exact"/>
      <w:jc w:val="center"/>
      <w:rPr>
        <w:sz w:val="16"/>
      </w:rPr>
    </w:pPr>
    <w:r w:rsidRPr="00C819E8">
      <w:rPr>
        <w:noProof/>
        <w:sz w:val="18"/>
        <w:szCs w:val="18"/>
      </w:rPr>
      <w:drawing>
        <wp:anchor distT="0" distB="0" distL="114300" distR="114300" simplePos="0" relativeHeight="251664384" behindDoc="0" locked="0" layoutInCell="1" allowOverlap="1" wp14:anchorId="598CA658" wp14:editId="03D65783">
          <wp:simplePos x="0" y="0"/>
          <wp:positionH relativeFrom="margin">
            <wp:align>left</wp:align>
          </wp:positionH>
          <wp:positionV relativeFrom="paragraph">
            <wp:posOffset>45085</wp:posOffset>
          </wp:positionV>
          <wp:extent cx="624840" cy="624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ogosm2 120x117.jpg"/>
                  <pic:cNvPicPr/>
                </pic:nvPicPr>
                <pic:blipFill>
                  <a:blip r:embed="rId1">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sidRPr="00C819E8">
      <w:rPr>
        <w:noProof/>
        <w:sz w:val="18"/>
        <w:szCs w:val="18"/>
      </w:rPr>
      <w:drawing>
        <wp:anchor distT="0" distB="0" distL="114300" distR="114300" simplePos="0" relativeHeight="251663360" behindDoc="0" locked="0" layoutInCell="1" allowOverlap="1" wp14:anchorId="50E7F263" wp14:editId="6D4AA9D6">
          <wp:simplePos x="0" y="0"/>
          <wp:positionH relativeFrom="margin">
            <wp:align>right</wp:align>
          </wp:positionH>
          <wp:positionV relativeFrom="paragraph">
            <wp:posOffset>6985</wp:posOffset>
          </wp:positionV>
          <wp:extent cx="560705" cy="631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3L777G.jpg"/>
                  <pic:cNvPicPr/>
                </pic:nvPicPr>
                <pic:blipFill>
                  <a:blip r:embed="rId2">
                    <a:extLst>
                      <a:ext uri="{28A0092B-C50C-407E-A947-70E740481C1C}">
                        <a14:useLocalDpi xmlns:a14="http://schemas.microsoft.com/office/drawing/2010/main" val="0"/>
                      </a:ext>
                    </a:extLst>
                  </a:blip>
                  <a:stretch>
                    <a:fillRect/>
                  </a:stretch>
                </pic:blipFill>
                <pic:spPr>
                  <a:xfrm>
                    <a:off x="0" y="0"/>
                    <a:ext cx="560705" cy="631825"/>
                  </a:xfrm>
                  <a:prstGeom prst="rect">
                    <a:avLst/>
                  </a:prstGeom>
                </pic:spPr>
              </pic:pic>
            </a:graphicData>
          </a:graphic>
          <wp14:sizeRelH relativeFrom="page">
            <wp14:pctWidth>0</wp14:pctWidth>
          </wp14:sizeRelH>
          <wp14:sizeRelV relativeFrom="page">
            <wp14:pctHeight>0</wp14:pctHeight>
          </wp14:sizeRelV>
        </wp:anchor>
      </w:drawing>
    </w:r>
    <w:r>
      <w:rPr>
        <w:sz w:val="16"/>
      </w:rPr>
      <w:t xml:space="preserve">Creating Homes Initiative - 2 </w:t>
    </w:r>
  </w:p>
  <w:p w14:paraId="7D11F1EE" w14:textId="3212FDCB" w:rsidR="00E651FE" w:rsidRDefault="00E651FE" w:rsidP="00C01438">
    <w:pPr>
      <w:tabs>
        <w:tab w:val="left" w:pos="4680"/>
        <w:tab w:val="left" w:pos="8100"/>
      </w:tabs>
      <w:spacing w:line="240" w:lineRule="exact"/>
      <w:jc w:val="center"/>
      <w:rPr>
        <w:sz w:val="16"/>
      </w:rPr>
    </w:pPr>
    <w:r>
      <w:rPr>
        <w:sz w:val="16"/>
      </w:rPr>
      <w:t>September 2019</w:t>
    </w:r>
    <w:r w:rsidR="00F40723">
      <w:rPr>
        <w:sz w:val="16"/>
      </w:rPr>
      <w:t>, as amended January 2020</w:t>
    </w:r>
  </w:p>
  <w:p w14:paraId="68C5887C" w14:textId="49670C76" w:rsidR="00E651FE" w:rsidRDefault="00E651FE" w:rsidP="00143C6B">
    <w:pPr>
      <w:tabs>
        <w:tab w:val="left" w:pos="4680"/>
        <w:tab w:val="left" w:pos="8100"/>
      </w:tabs>
      <w:spacing w:line="240" w:lineRule="exact"/>
      <w:rPr>
        <w:rFonts w:ascii="Palatino" w:hAnsi="Palatino"/>
        <w:sz w:val="16"/>
      </w:rPr>
    </w:pPr>
  </w:p>
  <w:p w14:paraId="7B57E591" w14:textId="760EF444" w:rsidR="00E651FE" w:rsidRPr="00C819E8" w:rsidRDefault="00E651FE" w:rsidP="00C01438">
    <w:pPr>
      <w:tabs>
        <w:tab w:val="left" w:pos="4680"/>
        <w:tab w:val="left" w:pos="8100"/>
      </w:tabs>
      <w:spacing w:line="240" w:lineRule="exact"/>
      <w:jc w:val="center"/>
      <w:rPr>
        <w:sz w:val="16"/>
      </w:rPr>
    </w:pPr>
    <w:r w:rsidRPr="00C819E8">
      <w:rPr>
        <w:sz w:val="16"/>
      </w:rPr>
      <w:t xml:space="preserve">Page </w:t>
    </w:r>
    <w:r w:rsidRPr="00C819E8">
      <w:rPr>
        <w:sz w:val="16"/>
      </w:rPr>
      <w:pgNum/>
    </w:r>
  </w:p>
  <w:p w14:paraId="77EACCB5" w14:textId="0E5273E7" w:rsidR="00E651FE" w:rsidRDefault="00E651FE" w:rsidP="00143C6B">
    <w:pPr>
      <w:tabs>
        <w:tab w:val="left" w:pos="4680"/>
        <w:tab w:val="left" w:pos="8100"/>
      </w:tabs>
      <w:spacing w:line="240" w:lineRule="exact"/>
      <w:rPr>
        <w:sz w:val="16"/>
      </w:rPr>
    </w:pPr>
    <w:r>
      <w:rPr>
        <w:rFonts w:ascii="Palatino" w:hAnsi="Palatino"/>
        <w:sz w:val="16"/>
      </w:rPr>
      <w:tab/>
    </w:r>
  </w:p>
  <w:p w14:paraId="19ADD2CA" w14:textId="7FA9C9E9" w:rsidR="00E651FE" w:rsidRDefault="00E651FE" w:rsidP="00143C6B">
    <w:pPr>
      <w:tabs>
        <w:tab w:val="left" w:pos="4680"/>
        <w:tab w:val="left" w:pos="8100"/>
      </w:tabs>
      <w:spacing w:line="240" w:lineRule="exact"/>
      <w:rPr>
        <w:rFonts w:ascii="Palatino" w:hAnsi="Palatino"/>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895E" w14:textId="77777777" w:rsidR="00E651FE" w:rsidRDefault="00E651FE">
    <w:pPr>
      <w:tabs>
        <w:tab w:val="left" w:pos="5040"/>
      </w:tabs>
    </w:pPr>
    <w:r>
      <w:rPr>
        <w:sz w:val="16"/>
      </w:rPr>
      <w:t>HO 0415 (Revised 10/99)</w:t>
    </w:r>
  </w:p>
  <w:p w14:paraId="7BB699EF" w14:textId="77777777" w:rsidR="00E651FE" w:rsidRDefault="00E651FE">
    <w:pPr>
      <w:spacing w:line="240" w:lineRule="exact"/>
      <w:rPr>
        <w:sz w:val="16"/>
      </w:rPr>
    </w:pPr>
    <w:r>
      <w:rPr>
        <w:sz w:val="16"/>
      </w:rPr>
      <w:t>RDA 2437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A00A" w14:textId="77777777" w:rsidR="005C3776" w:rsidRDefault="005C3776">
      <w:r>
        <w:separator/>
      </w:r>
    </w:p>
  </w:footnote>
  <w:footnote w:type="continuationSeparator" w:id="0">
    <w:p w14:paraId="19F2DC6C" w14:textId="77777777" w:rsidR="005C3776" w:rsidRDefault="005C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31D3" w14:textId="77777777" w:rsidR="00E651FE" w:rsidRDefault="00E651FE">
    <w:pPr>
      <w:pStyle w:val="Header"/>
      <w:jc w:val="center"/>
      <w:rPr>
        <w:b/>
        <w:sz w:val="36"/>
      </w:rPr>
    </w:pPr>
    <w:r>
      <w:rPr>
        <w:b/>
        <w:sz w:val="36"/>
      </w:rPr>
      <w:t>Draft of November 18, 1999</w:t>
    </w:r>
  </w:p>
  <w:p w14:paraId="3E6B1CF5" w14:textId="77777777" w:rsidR="00E651FE" w:rsidRDefault="00E651FE">
    <w:pPr>
      <w:pStyle w:val="Header"/>
      <w:jc w:val="center"/>
      <w:rPr>
        <w:b/>
        <w:sz w:val="36"/>
      </w:rPr>
    </w:pPr>
  </w:p>
  <w:p w14:paraId="2E42AA69" w14:textId="77777777" w:rsidR="00E651FE" w:rsidRDefault="00E651FE">
    <w:pPr>
      <w:pStyle w:val="Header"/>
      <w:pBdr>
        <w:top w:val="single" w:sz="4" w:space="1" w:color="auto"/>
      </w:pBd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AF0"/>
    <w:multiLevelType w:val="hybridMultilevel"/>
    <w:tmpl w:val="38E8889C"/>
    <w:lvl w:ilvl="0" w:tplc="84E8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5E82"/>
    <w:multiLevelType w:val="hybridMultilevel"/>
    <w:tmpl w:val="9C82AB12"/>
    <w:lvl w:ilvl="0" w:tplc="3D1A6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7A7F"/>
    <w:multiLevelType w:val="hybridMultilevel"/>
    <w:tmpl w:val="5EDC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901A4"/>
    <w:multiLevelType w:val="hybridMultilevel"/>
    <w:tmpl w:val="2FF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B4402"/>
    <w:multiLevelType w:val="multilevel"/>
    <w:tmpl w:val="D0E69CAC"/>
    <w:lvl w:ilvl="0">
      <w:start w:val="1"/>
      <w:numFmt w:val="decimal"/>
      <w:lvlText w:val="%1."/>
      <w:lvlJc w:val="left"/>
      <w:pPr>
        <w:tabs>
          <w:tab w:val="num" w:pos="720"/>
        </w:tabs>
        <w:ind w:left="720" w:hanging="360"/>
      </w:pPr>
    </w:lvl>
    <w:lvl w:ilvl="1">
      <w:start w:val="1"/>
      <w:numFmt w:val="decimal"/>
      <w:lvlText w:val="%2."/>
      <w:lvlJc w:val="left"/>
      <w:pPr>
        <w:ind w:left="1620" w:hanging="540"/>
      </w:pPr>
      <w:rPr>
        <w:rFonts w:ascii="Times New Roman" w:hAnsi="Times New Roman" w:hint="default"/>
        <w:b w:val="0"/>
        <w:i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34660"/>
    <w:multiLevelType w:val="hybridMultilevel"/>
    <w:tmpl w:val="E72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327C"/>
    <w:multiLevelType w:val="hybridMultilevel"/>
    <w:tmpl w:val="096A660C"/>
    <w:lvl w:ilvl="0" w:tplc="04090003">
      <w:start w:val="1"/>
      <w:numFmt w:val="bullet"/>
      <w:lvlText w:val="o"/>
      <w:lvlJc w:val="left"/>
      <w:pPr>
        <w:tabs>
          <w:tab w:val="num" w:pos="360"/>
        </w:tabs>
        <w:ind w:left="360" w:hanging="360"/>
      </w:pPr>
      <w:rPr>
        <w:rFonts w:ascii="Courier New" w:hAnsi="Courier New" w:cs="Courier New"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D0A8413E">
      <w:start w:val="1"/>
      <w:numFmt w:val="bullet"/>
      <w:lvlText w:val=""/>
      <w:lvlJc w:val="left"/>
      <w:pPr>
        <w:tabs>
          <w:tab w:val="num" w:pos="1800"/>
        </w:tabs>
        <w:ind w:left="1800" w:hanging="360"/>
      </w:pPr>
      <w:rPr>
        <w:rFonts w:ascii="Symbol" w:hAnsi="Symbol" w:hint="default"/>
        <w:sz w:val="20"/>
        <w:szCs w:val="20"/>
      </w:rPr>
    </w:lvl>
    <w:lvl w:ilvl="3" w:tplc="DAF22736">
      <w:start w:val="1"/>
      <w:numFmt w:val="bullet"/>
      <w:lvlText w:val="►"/>
      <w:lvlJc w:val="left"/>
      <w:pPr>
        <w:tabs>
          <w:tab w:val="num" w:pos="2520"/>
        </w:tabs>
        <w:ind w:left="2520" w:hanging="360"/>
      </w:pPr>
      <w:rPr>
        <w:rFonts w:ascii="Arial" w:hAnsi="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2F3CE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5E16F1"/>
    <w:multiLevelType w:val="hybridMultilevel"/>
    <w:tmpl w:val="4EBAA698"/>
    <w:lvl w:ilvl="0" w:tplc="9BF49054">
      <w:start w:val="1"/>
      <w:numFmt w:val="lowerLetter"/>
      <w:lvlText w:val="%1."/>
      <w:lvlJc w:val="left"/>
      <w:pPr>
        <w:ind w:left="1440" w:hanging="72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7711A"/>
    <w:multiLevelType w:val="hybridMultilevel"/>
    <w:tmpl w:val="A0F0A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6AC0"/>
    <w:multiLevelType w:val="hybridMultilevel"/>
    <w:tmpl w:val="44C8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C583F"/>
    <w:multiLevelType w:val="hybridMultilevel"/>
    <w:tmpl w:val="89C6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710BB"/>
    <w:multiLevelType w:val="hybridMultilevel"/>
    <w:tmpl w:val="F2A64B12"/>
    <w:lvl w:ilvl="0" w:tplc="76A0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B6C3A"/>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B4B786F"/>
    <w:multiLevelType w:val="hybridMultilevel"/>
    <w:tmpl w:val="1A4AD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728"/>
    <w:multiLevelType w:val="multilevel"/>
    <w:tmpl w:val="CDF0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10F68"/>
    <w:multiLevelType w:val="hybridMultilevel"/>
    <w:tmpl w:val="1A4AE560"/>
    <w:lvl w:ilvl="0" w:tplc="C9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40AE6"/>
    <w:multiLevelType w:val="hybridMultilevel"/>
    <w:tmpl w:val="13B8E08C"/>
    <w:lvl w:ilvl="0" w:tplc="B45CCF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0E4B"/>
    <w:multiLevelType w:val="hybridMultilevel"/>
    <w:tmpl w:val="FEF6D44E"/>
    <w:lvl w:ilvl="0" w:tplc="A2227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F815A3"/>
    <w:multiLevelType w:val="hybridMultilevel"/>
    <w:tmpl w:val="26DE94D2"/>
    <w:lvl w:ilvl="0" w:tplc="D0A8413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D0A8413E">
      <w:start w:val="1"/>
      <w:numFmt w:val="bullet"/>
      <w:lvlText w:val=""/>
      <w:lvlJc w:val="left"/>
      <w:pPr>
        <w:tabs>
          <w:tab w:val="num" w:pos="1800"/>
        </w:tabs>
        <w:ind w:left="1800" w:hanging="360"/>
      </w:pPr>
      <w:rPr>
        <w:rFonts w:ascii="Symbol" w:hAnsi="Symbol" w:hint="default"/>
        <w:sz w:val="20"/>
        <w:szCs w:val="20"/>
      </w:rPr>
    </w:lvl>
    <w:lvl w:ilvl="3" w:tplc="DAF22736">
      <w:start w:val="1"/>
      <w:numFmt w:val="bullet"/>
      <w:lvlText w:val="►"/>
      <w:lvlJc w:val="left"/>
      <w:pPr>
        <w:tabs>
          <w:tab w:val="num" w:pos="2520"/>
        </w:tabs>
        <w:ind w:left="2520" w:hanging="360"/>
      </w:pPr>
      <w:rPr>
        <w:rFonts w:ascii="Arial" w:hAnsi="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DC4090"/>
    <w:multiLevelType w:val="hybridMultilevel"/>
    <w:tmpl w:val="116A5A86"/>
    <w:lvl w:ilvl="0" w:tplc="D0A8413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5260AB"/>
    <w:multiLevelType w:val="hybridMultilevel"/>
    <w:tmpl w:val="BB287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84C3E"/>
    <w:multiLevelType w:val="hybridMultilevel"/>
    <w:tmpl w:val="FA06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3054E"/>
    <w:multiLevelType w:val="hybridMultilevel"/>
    <w:tmpl w:val="FC806C58"/>
    <w:lvl w:ilvl="0" w:tplc="F1C25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748EC"/>
    <w:multiLevelType w:val="hybridMultilevel"/>
    <w:tmpl w:val="A6942800"/>
    <w:lvl w:ilvl="0" w:tplc="643015AE">
      <w:start w:val="1"/>
      <w:numFmt w:val="decimal"/>
      <w:lvlText w:val="%1."/>
      <w:lvlJc w:val="left"/>
      <w:pPr>
        <w:ind w:left="810" w:hanging="360"/>
      </w:pPr>
      <w:rPr>
        <w:rFonts w:ascii="Times New Roman" w:hAnsi="Times New Roman" w:cs="Times New Roman" w:hint="default"/>
        <w:b w:val="0"/>
        <w:bCs/>
        <w:i w:val="0"/>
        <w:spacing w:val="-30"/>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D711B"/>
    <w:multiLevelType w:val="hybridMultilevel"/>
    <w:tmpl w:val="DCEE504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3E7D93"/>
    <w:multiLevelType w:val="hybridMultilevel"/>
    <w:tmpl w:val="810E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9240C"/>
    <w:multiLevelType w:val="hybridMultilevel"/>
    <w:tmpl w:val="408CC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00F3728"/>
    <w:multiLevelType w:val="hybridMultilevel"/>
    <w:tmpl w:val="536C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A66CD"/>
    <w:multiLevelType w:val="hybridMultilevel"/>
    <w:tmpl w:val="2C52A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A2FD9"/>
    <w:multiLevelType w:val="hybridMultilevel"/>
    <w:tmpl w:val="B95EE3E6"/>
    <w:lvl w:ilvl="0" w:tplc="FA7C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27"/>
  </w:num>
  <w:num w:numId="5">
    <w:abstractNumId w:val="29"/>
  </w:num>
  <w:num w:numId="6">
    <w:abstractNumId w:val="5"/>
  </w:num>
  <w:num w:numId="7">
    <w:abstractNumId w:val="14"/>
  </w:num>
  <w:num w:numId="8">
    <w:abstractNumId w:val="20"/>
  </w:num>
  <w:num w:numId="9">
    <w:abstractNumId w:val="30"/>
  </w:num>
  <w:num w:numId="10">
    <w:abstractNumId w:val="6"/>
  </w:num>
  <w:num w:numId="11">
    <w:abstractNumId w:val="17"/>
  </w:num>
  <w:num w:numId="12">
    <w:abstractNumId w:val="10"/>
  </w:num>
  <w:num w:numId="13">
    <w:abstractNumId w:val="2"/>
  </w:num>
  <w:num w:numId="14">
    <w:abstractNumId w:val="26"/>
  </w:num>
  <w:num w:numId="15">
    <w:abstractNumId w:val="24"/>
  </w:num>
  <w:num w:numId="16">
    <w:abstractNumId w:val="22"/>
  </w:num>
  <w:num w:numId="17">
    <w:abstractNumId w:val="25"/>
  </w:num>
  <w:num w:numId="18">
    <w:abstractNumId w:val="4"/>
  </w:num>
  <w:num w:numId="19">
    <w:abstractNumId w:val="9"/>
  </w:num>
  <w:num w:numId="20">
    <w:abstractNumId w:val="1"/>
  </w:num>
  <w:num w:numId="21">
    <w:abstractNumId w:val="0"/>
  </w:num>
  <w:num w:numId="22">
    <w:abstractNumId w:val="3"/>
  </w:num>
  <w:num w:numId="23">
    <w:abstractNumId w:val="12"/>
  </w:num>
  <w:num w:numId="24">
    <w:abstractNumId w:val="18"/>
  </w:num>
  <w:num w:numId="25">
    <w:abstractNumId w:val="8"/>
  </w:num>
  <w:num w:numId="26">
    <w:abstractNumId w:val="23"/>
  </w:num>
  <w:num w:numId="27">
    <w:abstractNumId w:val="16"/>
  </w:num>
  <w:num w:numId="28">
    <w:abstractNumId w:val="11"/>
  </w:num>
  <w:num w:numId="29">
    <w:abstractNumId w:val="28"/>
  </w:num>
  <w:num w:numId="30">
    <w:abstractNumId w:val="15"/>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15"/>
    <w:rsid w:val="00000D78"/>
    <w:rsid w:val="000018BC"/>
    <w:rsid w:val="000028B7"/>
    <w:rsid w:val="00012DE5"/>
    <w:rsid w:val="00012FFA"/>
    <w:rsid w:val="000153BA"/>
    <w:rsid w:val="000215F3"/>
    <w:rsid w:val="00021BA8"/>
    <w:rsid w:val="00022212"/>
    <w:rsid w:val="000249B4"/>
    <w:rsid w:val="00030C26"/>
    <w:rsid w:val="00031976"/>
    <w:rsid w:val="00032537"/>
    <w:rsid w:val="000328DE"/>
    <w:rsid w:val="000440FF"/>
    <w:rsid w:val="000456F9"/>
    <w:rsid w:val="00050D17"/>
    <w:rsid w:val="000553F1"/>
    <w:rsid w:val="0005591D"/>
    <w:rsid w:val="000671A4"/>
    <w:rsid w:val="0006767A"/>
    <w:rsid w:val="00067A23"/>
    <w:rsid w:val="000809BB"/>
    <w:rsid w:val="00081594"/>
    <w:rsid w:val="00085EE7"/>
    <w:rsid w:val="00092833"/>
    <w:rsid w:val="00092BF7"/>
    <w:rsid w:val="00097D0F"/>
    <w:rsid w:val="000A05AB"/>
    <w:rsid w:val="000A0C8C"/>
    <w:rsid w:val="000A2806"/>
    <w:rsid w:val="000B1E73"/>
    <w:rsid w:val="000B2336"/>
    <w:rsid w:val="000B59A4"/>
    <w:rsid w:val="000B6E02"/>
    <w:rsid w:val="000B75E0"/>
    <w:rsid w:val="000C5798"/>
    <w:rsid w:val="000D0534"/>
    <w:rsid w:val="000D1FB5"/>
    <w:rsid w:val="000D5008"/>
    <w:rsid w:val="000D6552"/>
    <w:rsid w:val="000E1F17"/>
    <w:rsid w:val="000F3546"/>
    <w:rsid w:val="000F7F71"/>
    <w:rsid w:val="0010000E"/>
    <w:rsid w:val="00105A65"/>
    <w:rsid w:val="001063C1"/>
    <w:rsid w:val="00112934"/>
    <w:rsid w:val="00113FE5"/>
    <w:rsid w:val="001154BD"/>
    <w:rsid w:val="001218F7"/>
    <w:rsid w:val="00122983"/>
    <w:rsid w:val="001261E2"/>
    <w:rsid w:val="0012674F"/>
    <w:rsid w:val="001310A9"/>
    <w:rsid w:val="00131684"/>
    <w:rsid w:val="00133113"/>
    <w:rsid w:val="00135C9D"/>
    <w:rsid w:val="001373F0"/>
    <w:rsid w:val="0014046F"/>
    <w:rsid w:val="00140CE6"/>
    <w:rsid w:val="00140D51"/>
    <w:rsid w:val="00143C6B"/>
    <w:rsid w:val="001458B0"/>
    <w:rsid w:val="00154518"/>
    <w:rsid w:val="001602C9"/>
    <w:rsid w:val="001616F4"/>
    <w:rsid w:val="00162A70"/>
    <w:rsid w:val="00163F40"/>
    <w:rsid w:val="001677C5"/>
    <w:rsid w:val="00170367"/>
    <w:rsid w:val="001703FE"/>
    <w:rsid w:val="0017243F"/>
    <w:rsid w:val="00174DB3"/>
    <w:rsid w:val="00180F17"/>
    <w:rsid w:val="001904CE"/>
    <w:rsid w:val="00191393"/>
    <w:rsid w:val="00193B72"/>
    <w:rsid w:val="001A264A"/>
    <w:rsid w:val="001A3AF9"/>
    <w:rsid w:val="001B44BB"/>
    <w:rsid w:val="001C1830"/>
    <w:rsid w:val="001D3A26"/>
    <w:rsid w:val="001D453E"/>
    <w:rsid w:val="001D460D"/>
    <w:rsid w:val="001D7E47"/>
    <w:rsid w:val="001E1E55"/>
    <w:rsid w:val="001E4469"/>
    <w:rsid w:val="001E7770"/>
    <w:rsid w:val="001E7F9B"/>
    <w:rsid w:val="00200A1D"/>
    <w:rsid w:val="00204E58"/>
    <w:rsid w:val="00210257"/>
    <w:rsid w:val="002119D0"/>
    <w:rsid w:val="00212D7E"/>
    <w:rsid w:val="002136FB"/>
    <w:rsid w:val="00213D07"/>
    <w:rsid w:val="00215940"/>
    <w:rsid w:val="00215F89"/>
    <w:rsid w:val="002270D7"/>
    <w:rsid w:val="00230E3A"/>
    <w:rsid w:val="00243275"/>
    <w:rsid w:val="002449F6"/>
    <w:rsid w:val="00245838"/>
    <w:rsid w:val="00245A69"/>
    <w:rsid w:val="002469AE"/>
    <w:rsid w:val="00247D6C"/>
    <w:rsid w:val="00253171"/>
    <w:rsid w:val="0025434A"/>
    <w:rsid w:val="0025623F"/>
    <w:rsid w:val="00257BCB"/>
    <w:rsid w:val="002610FF"/>
    <w:rsid w:val="00264B53"/>
    <w:rsid w:val="00267A04"/>
    <w:rsid w:val="00267C76"/>
    <w:rsid w:val="00273B03"/>
    <w:rsid w:val="00282292"/>
    <w:rsid w:val="002861F0"/>
    <w:rsid w:val="00297BBD"/>
    <w:rsid w:val="002A2903"/>
    <w:rsid w:val="002A67C0"/>
    <w:rsid w:val="002B0294"/>
    <w:rsid w:val="002B0FD2"/>
    <w:rsid w:val="002C5024"/>
    <w:rsid w:val="002C5A16"/>
    <w:rsid w:val="002D1A12"/>
    <w:rsid w:val="002D29ED"/>
    <w:rsid w:val="002E20F5"/>
    <w:rsid w:val="002E3695"/>
    <w:rsid w:val="002E4E85"/>
    <w:rsid w:val="002E5CFB"/>
    <w:rsid w:val="002E5D4B"/>
    <w:rsid w:val="002F4C83"/>
    <w:rsid w:val="002F6380"/>
    <w:rsid w:val="002F71F9"/>
    <w:rsid w:val="00302893"/>
    <w:rsid w:val="00302A48"/>
    <w:rsid w:val="00306029"/>
    <w:rsid w:val="00316623"/>
    <w:rsid w:val="00320581"/>
    <w:rsid w:val="0032149C"/>
    <w:rsid w:val="0032228D"/>
    <w:rsid w:val="00324820"/>
    <w:rsid w:val="00325420"/>
    <w:rsid w:val="00327A68"/>
    <w:rsid w:val="003303EF"/>
    <w:rsid w:val="00332002"/>
    <w:rsid w:val="003320E2"/>
    <w:rsid w:val="00335067"/>
    <w:rsid w:val="00336C51"/>
    <w:rsid w:val="00341AF2"/>
    <w:rsid w:val="00351119"/>
    <w:rsid w:val="00353D64"/>
    <w:rsid w:val="003578E2"/>
    <w:rsid w:val="0035799B"/>
    <w:rsid w:val="00360789"/>
    <w:rsid w:val="003615B2"/>
    <w:rsid w:val="00362112"/>
    <w:rsid w:val="003634F5"/>
    <w:rsid w:val="003709A8"/>
    <w:rsid w:val="00370E17"/>
    <w:rsid w:val="00374385"/>
    <w:rsid w:val="003745D3"/>
    <w:rsid w:val="0037644E"/>
    <w:rsid w:val="0038044C"/>
    <w:rsid w:val="00381DE4"/>
    <w:rsid w:val="00382FC2"/>
    <w:rsid w:val="00384CDB"/>
    <w:rsid w:val="00385172"/>
    <w:rsid w:val="00395343"/>
    <w:rsid w:val="00395ABE"/>
    <w:rsid w:val="003A163F"/>
    <w:rsid w:val="003A4842"/>
    <w:rsid w:val="003A4C89"/>
    <w:rsid w:val="003A5771"/>
    <w:rsid w:val="003B3F01"/>
    <w:rsid w:val="003C608E"/>
    <w:rsid w:val="003C62E5"/>
    <w:rsid w:val="003C76EE"/>
    <w:rsid w:val="003D2893"/>
    <w:rsid w:val="003D5911"/>
    <w:rsid w:val="003E0DB4"/>
    <w:rsid w:val="003E6E72"/>
    <w:rsid w:val="004065E0"/>
    <w:rsid w:val="004068B5"/>
    <w:rsid w:val="00406AB6"/>
    <w:rsid w:val="00412DF0"/>
    <w:rsid w:val="00412F1B"/>
    <w:rsid w:val="00417871"/>
    <w:rsid w:val="00424638"/>
    <w:rsid w:val="0042549E"/>
    <w:rsid w:val="00437491"/>
    <w:rsid w:val="004423C6"/>
    <w:rsid w:val="004455F0"/>
    <w:rsid w:val="0044609E"/>
    <w:rsid w:val="004600C7"/>
    <w:rsid w:val="004603A6"/>
    <w:rsid w:val="00460B70"/>
    <w:rsid w:val="00461AE7"/>
    <w:rsid w:val="00462B1E"/>
    <w:rsid w:val="00463351"/>
    <w:rsid w:val="00466336"/>
    <w:rsid w:val="00472729"/>
    <w:rsid w:val="004746AD"/>
    <w:rsid w:val="00475A1F"/>
    <w:rsid w:val="0047615B"/>
    <w:rsid w:val="00480414"/>
    <w:rsid w:val="004809F9"/>
    <w:rsid w:val="00480E71"/>
    <w:rsid w:val="004812D6"/>
    <w:rsid w:val="00491569"/>
    <w:rsid w:val="0049225C"/>
    <w:rsid w:val="004931B6"/>
    <w:rsid w:val="00497883"/>
    <w:rsid w:val="004A3EED"/>
    <w:rsid w:val="004A4FE3"/>
    <w:rsid w:val="004A5AB3"/>
    <w:rsid w:val="004B68E5"/>
    <w:rsid w:val="004C02F3"/>
    <w:rsid w:val="004C70FE"/>
    <w:rsid w:val="004D500A"/>
    <w:rsid w:val="004E3BDE"/>
    <w:rsid w:val="004F16CE"/>
    <w:rsid w:val="004F2DE6"/>
    <w:rsid w:val="004F2F47"/>
    <w:rsid w:val="004F4C95"/>
    <w:rsid w:val="004F529D"/>
    <w:rsid w:val="004F58F7"/>
    <w:rsid w:val="004F733C"/>
    <w:rsid w:val="005034AE"/>
    <w:rsid w:val="00505EDF"/>
    <w:rsid w:val="00521240"/>
    <w:rsid w:val="00526381"/>
    <w:rsid w:val="005265B5"/>
    <w:rsid w:val="00541975"/>
    <w:rsid w:val="0054750F"/>
    <w:rsid w:val="00551F61"/>
    <w:rsid w:val="0055233D"/>
    <w:rsid w:val="00556220"/>
    <w:rsid w:val="00565FB7"/>
    <w:rsid w:val="0057325E"/>
    <w:rsid w:val="00576ECC"/>
    <w:rsid w:val="00581FCA"/>
    <w:rsid w:val="0058301E"/>
    <w:rsid w:val="00586DDA"/>
    <w:rsid w:val="00591EC0"/>
    <w:rsid w:val="005927C3"/>
    <w:rsid w:val="00592B70"/>
    <w:rsid w:val="005A0B68"/>
    <w:rsid w:val="005A4F9B"/>
    <w:rsid w:val="005A59C6"/>
    <w:rsid w:val="005B04F4"/>
    <w:rsid w:val="005B777B"/>
    <w:rsid w:val="005C1B8A"/>
    <w:rsid w:val="005C3776"/>
    <w:rsid w:val="005D09A1"/>
    <w:rsid w:val="005D3AF0"/>
    <w:rsid w:val="005D67AA"/>
    <w:rsid w:val="005E275E"/>
    <w:rsid w:val="005E786A"/>
    <w:rsid w:val="005F25AD"/>
    <w:rsid w:val="005F33E6"/>
    <w:rsid w:val="005F36D9"/>
    <w:rsid w:val="005F4472"/>
    <w:rsid w:val="005F6520"/>
    <w:rsid w:val="006078F2"/>
    <w:rsid w:val="0061014E"/>
    <w:rsid w:val="0061435A"/>
    <w:rsid w:val="00615E4C"/>
    <w:rsid w:val="0062442B"/>
    <w:rsid w:val="00634E4F"/>
    <w:rsid w:val="00636186"/>
    <w:rsid w:val="0063678C"/>
    <w:rsid w:val="0064458E"/>
    <w:rsid w:val="00644CC7"/>
    <w:rsid w:val="00646BA9"/>
    <w:rsid w:val="00646BC5"/>
    <w:rsid w:val="006476FC"/>
    <w:rsid w:val="0065081D"/>
    <w:rsid w:val="00652171"/>
    <w:rsid w:val="00653FC8"/>
    <w:rsid w:val="006550EC"/>
    <w:rsid w:val="006554F3"/>
    <w:rsid w:val="00656F08"/>
    <w:rsid w:val="00657E73"/>
    <w:rsid w:val="006625F9"/>
    <w:rsid w:val="00663C30"/>
    <w:rsid w:val="00665645"/>
    <w:rsid w:val="00665AD8"/>
    <w:rsid w:val="0066690E"/>
    <w:rsid w:val="00667F67"/>
    <w:rsid w:val="006746EF"/>
    <w:rsid w:val="006832E9"/>
    <w:rsid w:val="006834D5"/>
    <w:rsid w:val="00684E39"/>
    <w:rsid w:val="00686E85"/>
    <w:rsid w:val="0068753C"/>
    <w:rsid w:val="00691DD8"/>
    <w:rsid w:val="006936CE"/>
    <w:rsid w:val="006A30C1"/>
    <w:rsid w:val="006A6B02"/>
    <w:rsid w:val="006B5312"/>
    <w:rsid w:val="006B6F3B"/>
    <w:rsid w:val="006C5D11"/>
    <w:rsid w:val="006C5F0A"/>
    <w:rsid w:val="006D0AFC"/>
    <w:rsid w:val="006D1AD9"/>
    <w:rsid w:val="006D5489"/>
    <w:rsid w:val="006D7245"/>
    <w:rsid w:val="006E6BA4"/>
    <w:rsid w:val="006E6E02"/>
    <w:rsid w:val="006F37D1"/>
    <w:rsid w:val="006F3FC4"/>
    <w:rsid w:val="006F4E38"/>
    <w:rsid w:val="007010C0"/>
    <w:rsid w:val="00701FDE"/>
    <w:rsid w:val="00713B17"/>
    <w:rsid w:val="00713B56"/>
    <w:rsid w:val="007155DD"/>
    <w:rsid w:val="0071690F"/>
    <w:rsid w:val="00716F2F"/>
    <w:rsid w:val="0071751F"/>
    <w:rsid w:val="00717F92"/>
    <w:rsid w:val="007266F3"/>
    <w:rsid w:val="007344BB"/>
    <w:rsid w:val="007348FC"/>
    <w:rsid w:val="00762393"/>
    <w:rsid w:val="00765305"/>
    <w:rsid w:val="007673BA"/>
    <w:rsid w:val="00773B04"/>
    <w:rsid w:val="0077449A"/>
    <w:rsid w:val="007775EF"/>
    <w:rsid w:val="007908FA"/>
    <w:rsid w:val="007912F0"/>
    <w:rsid w:val="007964CA"/>
    <w:rsid w:val="00797523"/>
    <w:rsid w:val="007A03D8"/>
    <w:rsid w:val="007A6E2A"/>
    <w:rsid w:val="007B13A4"/>
    <w:rsid w:val="007B465D"/>
    <w:rsid w:val="007B5CC1"/>
    <w:rsid w:val="007B79B2"/>
    <w:rsid w:val="007D2FCD"/>
    <w:rsid w:val="007D67AF"/>
    <w:rsid w:val="007D6A8C"/>
    <w:rsid w:val="007E32A4"/>
    <w:rsid w:val="007E5796"/>
    <w:rsid w:val="007E5B17"/>
    <w:rsid w:val="007F06B7"/>
    <w:rsid w:val="007F4AF4"/>
    <w:rsid w:val="007F6E11"/>
    <w:rsid w:val="0080239A"/>
    <w:rsid w:val="008033B9"/>
    <w:rsid w:val="00805F77"/>
    <w:rsid w:val="008061B3"/>
    <w:rsid w:val="008070D2"/>
    <w:rsid w:val="0081064E"/>
    <w:rsid w:val="00811B2F"/>
    <w:rsid w:val="00811C4B"/>
    <w:rsid w:val="00815213"/>
    <w:rsid w:val="008158F4"/>
    <w:rsid w:val="008261BC"/>
    <w:rsid w:val="008500FD"/>
    <w:rsid w:val="008575BE"/>
    <w:rsid w:val="00860490"/>
    <w:rsid w:val="00866F82"/>
    <w:rsid w:val="008673A2"/>
    <w:rsid w:val="00870758"/>
    <w:rsid w:val="008759FB"/>
    <w:rsid w:val="008814A7"/>
    <w:rsid w:val="00885938"/>
    <w:rsid w:val="008860FB"/>
    <w:rsid w:val="00890DB9"/>
    <w:rsid w:val="00892DB2"/>
    <w:rsid w:val="00896095"/>
    <w:rsid w:val="008A6DDA"/>
    <w:rsid w:val="008A7684"/>
    <w:rsid w:val="008B7493"/>
    <w:rsid w:val="008C0CF7"/>
    <w:rsid w:val="008C18B1"/>
    <w:rsid w:val="008D0456"/>
    <w:rsid w:val="008D3D66"/>
    <w:rsid w:val="008D7580"/>
    <w:rsid w:val="008D79F5"/>
    <w:rsid w:val="008E6A24"/>
    <w:rsid w:val="008F1074"/>
    <w:rsid w:val="008F3994"/>
    <w:rsid w:val="008F6A72"/>
    <w:rsid w:val="008F6BE2"/>
    <w:rsid w:val="009012D2"/>
    <w:rsid w:val="00903034"/>
    <w:rsid w:val="00903970"/>
    <w:rsid w:val="00911AD4"/>
    <w:rsid w:val="00927BCD"/>
    <w:rsid w:val="00930DEC"/>
    <w:rsid w:val="0093280D"/>
    <w:rsid w:val="009358B1"/>
    <w:rsid w:val="00937963"/>
    <w:rsid w:val="00942779"/>
    <w:rsid w:val="009427A0"/>
    <w:rsid w:val="009437FE"/>
    <w:rsid w:val="00947CCF"/>
    <w:rsid w:val="00954267"/>
    <w:rsid w:val="00954C75"/>
    <w:rsid w:val="00954D83"/>
    <w:rsid w:val="0095798D"/>
    <w:rsid w:val="009613AC"/>
    <w:rsid w:val="00961F24"/>
    <w:rsid w:val="00963362"/>
    <w:rsid w:val="009710A6"/>
    <w:rsid w:val="0098263C"/>
    <w:rsid w:val="00983602"/>
    <w:rsid w:val="00995FCE"/>
    <w:rsid w:val="009A1531"/>
    <w:rsid w:val="009B17BA"/>
    <w:rsid w:val="009C1D01"/>
    <w:rsid w:val="009C7224"/>
    <w:rsid w:val="009D59DD"/>
    <w:rsid w:val="009E0AA7"/>
    <w:rsid w:val="009E145E"/>
    <w:rsid w:val="009E1AA6"/>
    <w:rsid w:val="009E5812"/>
    <w:rsid w:val="009F298E"/>
    <w:rsid w:val="009F35E5"/>
    <w:rsid w:val="009F5D12"/>
    <w:rsid w:val="009F5FE6"/>
    <w:rsid w:val="00A0075F"/>
    <w:rsid w:val="00A014B0"/>
    <w:rsid w:val="00A01968"/>
    <w:rsid w:val="00A10976"/>
    <w:rsid w:val="00A12048"/>
    <w:rsid w:val="00A20A3D"/>
    <w:rsid w:val="00A26FE5"/>
    <w:rsid w:val="00A30B72"/>
    <w:rsid w:val="00A31958"/>
    <w:rsid w:val="00A35BA2"/>
    <w:rsid w:val="00A3631B"/>
    <w:rsid w:val="00A40647"/>
    <w:rsid w:val="00A40CCC"/>
    <w:rsid w:val="00A4333A"/>
    <w:rsid w:val="00A4564B"/>
    <w:rsid w:val="00A46281"/>
    <w:rsid w:val="00A50E88"/>
    <w:rsid w:val="00A54847"/>
    <w:rsid w:val="00A55C4E"/>
    <w:rsid w:val="00A61A39"/>
    <w:rsid w:val="00A66CB1"/>
    <w:rsid w:val="00A674FD"/>
    <w:rsid w:val="00A70F3F"/>
    <w:rsid w:val="00A74D45"/>
    <w:rsid w:val="00A83229"/>
    <w:rsid w:val="00A853C7"/>
    <w:rsid w:val="00A911B5"/>
    <w:rsid w:val="00AA10D9"/>
    <w:rsid w:val="00AA486A"/>
    <w:rsid w:val="00AA4E92"/>
    <w:rsid w:val="00AA6905"/>
    <w:rsid w:val="00AB1C02"/>
    <w:rsid w:val="00AB2742"/>
    <w:rsid w:val="00AB5B0D"/>
    <w:rsid w:val="00AC28C1"/>
    <w:rsid w:val="00AC3AC8"/>
    <w:rsid w:val="00AC69EF"/>
    <w:rsid w:val="00AC6AA4"/>
    <w:rsid w:val="00AD071A"/>
    <w:rsid w:val="00AD109B"/>
    <w:rsid w:val="00AE2956"/>
    <w:rsid w:val="00AE4E3B"/>
    <w:rsid w:val="00AE7ED7"/>
    <w:rsid w:val="00AF2618"/>
    <w:rsid w:val="00AF37A8"/>
    <w:rsid w:val="00AF3D74"/>
    <w:rsid w:val="00B01435"/>
    <w:rsid w:val="00B05A89"/>
    <w:rsid w:val="00B06532"/>
    <w:rsid w:val="00B107C5"/>
    <w:rsid w:val="00B21557"/>
    <w:rsid w:val="00B24982"/>
    <w:rsid w:val="00B2710F"/>
    <w:rsid w:val="00B32800"/>
    <w:rsid w:val="00B332F2"/>
    <w:rsid w:val="00B35B21"/>
    <w:rsid w:val="00B37135"/>
    <w:rsid w:val="00B41C2A"/>
    <w:rsid w:val="00B42125"/>
    <w:rsid w:val="00B467A5"/>
    <w:rsid w:val="00B46B8D"/>
    <w:rsid w:val="00B50D8F"/>
    <w:rsid w:val="00B52557"/>
    <w:rsid w:val="00B561FA"/>
    <w:rsid w:val="00B64498"/>
    <w:rsid w:val="00B72204"/>
    <w:rsid w:val="00B7761B"/>
    <w:rsid w:val="00B778E7"/>
    <w:rsid w:val="00B819FE"/>
    <w:rsid w:val="00B8230F"/>
    <w:rsid w:val="00B82F3E"/>
    <w:rsid w:val="00B915C7"/>
    <w:rsid w:val="00B976D1"/>
    <w:rsid w:val="00BA3F37"/>
    <w:rsid w:val="00BA54E4"/>
    <w:rsid w:val="00BB57C8"/>
    <w:rsid w:val="00BB65C7"/>
    <w:rsid w:val="00BC080B"/>
    <w:rsid w:val="00BC1435"/>
    <w:rsid w:val="00BC19D4"/>
    <w:rsid w:val="00BC50A3"/>
    <w:rsid w:val="00BC6F86"/>
    <w:rsid w:val="00BC70B8"/>
    <w:rsid w:val="00BC7315"/>
    <w:rsid w:val="00BE269F"/>
    <w:rsid w:val="00BE4D74"/>
    <w:rsid w:val="00BE682A"/>
    <w:rsid w:val="00BF009E"/>
    <w:rsid w:val="00BF204A"/>
    <w:rsid w:val="00BF604B"/>
    <w:rsid w:val="00BF7DB0"/>
    <w:rsid w:val="00C01070"/>
    <w:rsid w:val="00C01438"/>
    <w:rsid w:val="00C02A4B"/>
    <w:rsid w:val="00C0539D"/>
    <w:rsid w:val="00C17C33"/>
    <w:rsid w:val="00C25F3E"/>
    <w:rsid w:val="00C3597A"/>
    <w:rsid w:val="00C37652"/>
    <w:rsid w:val="00C41B47"/>
    <w:rsid w:val="00C41F6C"/>
    <w:rsid w:val="00C42ABF"/>
    <w:rsid w:val="00C44728"/>
    <w:rsid w:val="00C51B79"/>
    <w:rsid w:val="00C6035A"/>
    <w:rsid w:val="00C62AAF"/>
    <w:rsid w:val="00C6559D"/>
    <w:rsid w:val="00C65C32"/>
    <w:rsid w:val="00C66940"/>
    <w:rsid w:val="00C71E04"/>
    <w:rsid w:val="00C73814"/>
    <w:rsid w:val="00C76852"/>
    <w:rsid w:val="00C777D4"/>
    <w:rsid w:val="00C80C00"/>
    <w:rsid w:val="00C80D99"/>
    <w:rsid w:val="00C819E8"/>
    <w:rsid w:val="00C8280B"/>
    <w:rsid w:val="00C9453C"/>
    <w:rsid w:val="00CA3B7E"/>
    <w:rsid w:val="00CA41F2"/>
    <w:rsid w:val="00CA4C27"/>
    <w:rsid w:val="00CB14D4"/>
    <w:rsid w:val="00CB69E1"/>
    <w:rsid w:val="00CC1133"/>
    <w:rsid w:val="00CC2B87"/>
    <w:rsid w:val="00CC3D84"/>
    <w:rsid w:val="00CC4058"/>
    <w:rsid w:val="00CC44A5"/>
    <w:rsid w:val="00CC7C65"/>
    <w:rsid w:val="00CD49A1"/>
    <w:rsid w:val="00CD5949"/>
    <w:rsid w:val="00CE44D7"/>
    <w:rsid w:val="00CE4E13"/>
    <w:rsid w:val="00CE5BC0"/>
    <w:rsid w:val="00CF1749"/>
    <w:rsid w:val="00CF2AF5"/>
    <w:rsid w:val="00CF3ADD"/>
    <w:rsid w:val="00CF4A9C"/>
    <w:rsid w:val="00D00B9A"/>
    <w:rsid w:val="00D0147B"/>
    <w:rsid w:val="00D07477"/>
    <w:rsid w:val="00D07A09"/>
    <w:rsid w:val="00D07BE3"/>
    <w:rsid w:val="00D11F6C"/>
    <w:rsid w:val="00D16E6A"/>
    <w:rsid w:val="00D17C1A"/>
    <w:rsid w:val="00D229A4"/>
    <w:rsid w:val="00D22AF1"/>
    <w:rsid w:val="00D22D9B"/>
    <w:rsid w:val="00D2360A"/>
    <w:rsid w:val="00D27755"/>
    <w:rsid w:val="00D37212"/>
    <w:rsid w:val="00D3737F"/>
    <w:rsid w:val="00D42F62"/>
    <w:rsid w:val="00D43F42"/>
    <w:rsid w:val="00D44834"/>
    <w:rsid w:val="00D50C35"/>
    <w:rsid w:val="00D50CC9"/>
    <w:rsid w:val="00D52647"/>
    <w:rsid w:val="00D54964"/>
    <w:rsid w:val="00D57C3B"/>
    <w:rsid w:val="00D633DF"/>
    <w:rsid w:val="00D65D4B"/>
    <w:rsid w:val="00D662E3"/>
    <w:rsid w:val="00D75512"/>
    <w:rsid w:val="00D7553A"/>
    <w:rsid w:val="00D86227"/>
    <w:rsid w:val="00D87ED9"/>
    <w:rsid w:val="00D914B9"/>
    <w:rsid w:val="00DA10DB"/>
    <w:rsid w:val="00DA2F77"/>
    <w:rsid w:val="00DA53A1"/>
    <w:rsid w:val="00DB400E"/>
    <w:rsid w:val="00DB5BE0"/>
    <w:rsid w:val="00DB6571"/>
    <w:rsid w:val="00DC10FB"/>
    <w:rsid w:val="00DC6FB8"/>
    <w:rsid w:val="00DD0D82"/>
    <w:rsid w:val="00DD69BF"/>
    <w:rsid w:val="00DD6CA2"/>
    <w:rsid w:val="00DE1774"/>
    <w:rsid w:val="00DE30E0"/>
    <w:rsid w:val="00DE62F2"/>
    <w:rsid w:val="00DE7934"/>
    <w:rsid w:val="00DF1F2A"/>
    <w:rsid w:val="00DF21F9"/>
    <w:rsid w:val="00DF410D"/>
    <w:rsid w:val="00DF4538"/>
    <w:rsid w:val="00DF47C7"/>
    <w:rsid w:val="00DF52DE"/>
    <w:rsid w:val="00DF77B2"/>
    <w:rsid w:val="00E06B62"/>
    <w:rsid w:val="00E117B4"/>
    <w:rsid w:val="00E1625B"/>
    <w:rsid w:val="00E169D6"/>
    <w:rsid w:val="00E170F5"/>
    <w:rsid w:val="00E23C8D"/>
    <w:rsid w:val="00E259CB"/>
    <w:rsid w:val="00E26D37"/>
    <w:rsid w:val="00E27E2B"/>
    <w:rsid w:val="00E32156"/>
    <w:rsid w:val="00E343D3"/>
    <w:rsid w:val="00E41E0E"/>
    <w:rsid w:val="00E515B0"/>
    <w:rsid w:val="00E618B2"/>
    <w:rsid w:val="00E641AE"/>
    <w:rsid w:val="00E651FE"/>
    <w:rsid w:val="00E70AEC"/>
    <w:rsid w:val="00E70F71"/>
    <w:rsid w:val="00E70FE6"/>
    <w:rsid w:val="00E76081"/>
    <w:rsid w:val="00E83373"/>
    <w:rsid w:val="00E83472"/>
    <w:rsid w:val="00E9415D"/>
    <w:rsid w:val="00E96686"/>
    <w:rsid w:val="00E97E08"/>
    <w:rsid w:val="00EA3B21"/>
    <w:rsid w:val="00EA3ED4"/>
    <w:rsid w:val="00EB4282"/>
    <w:rsid w:val="00EC07D2"/>
    <w:rsid w:val="00EC4F06"/>
    <w:rsid w:val="00EC5583"/>
    <w:rsid w:val="00EC5E10"/>
    <w:rsid w:val="00ED4882"/>
    <w:rsid w:val="00ED4F28"/>
    <w:rsid w:val="00EF0C1C"/>
    <w:rsid w:val="00F04B89"/>
    <w:rsid w:val="00F04D1D"/>
    <w:rsid w:val="00F06432"/>
    <w:rsid w:val="00F123C4"/>
    <w:rsid w:val="00F12F88"/>
    <w:rsid w:val="00F15856"/>
    <w:rsid w:val="00F15E25"/>
    <w:rsid w:val="00F166BC"/>
    <w:rsid w:val="00F215CA"/>
    <w:rsid w:val="00F21AB8"/>
    <w:rsid w:val="00F40723"/>
    <w:rsid w:val="00F41F7B"/>
    <w:rsid w:val="00F43D25"/>
    <w:rsid w:val="00F43EC3"/>
    <w:rsid w:val="00F45CBC"/>
    <w:rsid w:val="00F6160F"/>
    <w:rsid w:val="00F67F7C"/>
    <w:rsid w:val="00F719BB"/>
    <w:rsid w:val="00F72A9B"/>
    <w:rsid w:val="00F82E41"/>
    <w:rsid w:val="00F903BC"/>
    <w:rsid w:val="00F90AA0"/>
    <w:rsid w:val="00F964BC"/>
    <w:rsid w:val="00FA065B"/>
    <w:rsid w:val="00FA1C53"/>
    <w:rsid w:val="00FA2EB1"/>
    <w:rsid w:val="00FA3652"/>
    <w:rsid w:val="00FA48FD"/>
    <w:rsid w:val="00FB1D88"/>
    <w:rsid w:val="00FB348F"/>
    <w:rsid w:val="00FB471A"/>
    <w:rsid w:val="00FB6524"/>
    <w:rsid w:val="00FC03BF"/>
    <w:rsid w:val="00FC14B4"/>
    <w:rsid w:val="00FC2AAD"/>
    <w:rsid w:val="00FC440D"/>
    <w:rsid w:val="00FD2FDA"/>
    <w:rsid w:val="00FD58AD"/>
    <w:rsid w:val="00FD7142"/>
    <w:rsid w:val="00FE2078"/>
    <w:rsid w:val="00FE2662"/>
    <w:rsid w:val="00FF521A"/>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C2AE"/>
  <w15:docId w15:val="{C0B8A18C-948A-4733-AE28-6DEE240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C7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56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5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56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564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56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C7315"/>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15"/>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BC7315"/>
    <w:rPr>
      <w:rFonts w:ascii="Times New Roman" w:eastAsia="Times New Roman" w:hAnsi="Times New Roman" w:cs="Times New Roman"/>
      <w:b/>
      <w:sz w:val="28"/>
      <w:szCs w:val="20"/>
    </w:rPr>
  </w:style>
  <w:style w:type="paragraph" w:styleId="Footer">
    <w:name w:val="footer"/>
    <w:basedOn w:val="Normal"/>
    <w:link w:val="FooterChar"/>
    <w:rsid w:val="00BC7315"/>
    <w:pPr>
      <w:tabs>
        <w:tab w:val="center" w:pos="4320"/>
        <w:tab w:val="right" w:pos="8640"/>
      </w:tabs>
    </w:pPr>
  </w:style>
  <w:style w:type="character" w:customStyle="1" w:styleId="FooterChar">
    <w:name w:val="Footer Char"/>
    <w:basedOn w:val="DefaultParagraphFont"/>
    <w:link w:val="Footer"/>
    <w:rsid w:val="00BC7315"/>
    <w:rPr>
      <w:rFonts w:ascii="Times New Roman" w:eastAsia="Times New Roman" w:hAnsi="Times New Roman" w:cs="Times New Roman"/>
      <w:sz w:val="20"/>
      <w:szCs w:val="20"/>
    </w:rPr>
  </w:style>
  <w:style w:type="paragraph" w:styleId="Header">
    <w:name w:val="header"/>
    <w:basedOn w:val="Normal"/>
    <w:link w:val="HeaderChar"/>
    <w:semiHidden/>
    <w:rsid w:val="00BC7315"/>
    <w:pPr>
      <w:tabs>
        <w:tab w:val="center" w:pos="4320"/>
        <w:tab w:val="right" w:pos="8640"/>
      </w:tabs>
    </w:pPr>
  </w:style>
  <w:style w:type="character" w:customStyle="1" w:styleId="HeaderChar">
    <w:name w:val="Header Char"/>
    <w:basedOn w:val="DefaultParagraphFont"/>
    <w:link w:val="Header"/>
    <w:semiHidden/>
    <w:rsid w:val="00BC7315"/>
    <w:rPr>
      <w:rFonts w:ascii="Times New Roman" w:eastAsia="Times New Roman" w:hAnsi="Times New Roman" w:cs="Times New Roman"/>
      <w:sz w:val="20"/>
      <w:szCs w:val="20"/>
    </w:rPr>
  </w:style>
  <w:style w:type="paragraph" w:styleId="BodyTextIndent">
    <w:name w:val="Body Text Indent"/>
    <w:basedOn w:val="Normal"/>
    <w:link w:val="BodyTextIndentChar"/>
    <w:rsid w:val="00BC7315"/>
    <w:pPr>
      <w:spacing w:before="120"/>
      <w:ind w:left="720" w:hanging="720"/>
      <w:jc w:val="both"/>
    </w:pPr>
    <w:rPr>
      <w:sz w:val="24"/>
    </w:rPr>
  </w:style>
  <w:style w:type="character" w:customStyle="1" w:styleId="BodyTextIndentChar">
    <w:name w:val="Body Text Indent Char"/>
    <w:basedOn w:val="DefaultParagraphFont"/>
    <w:link w:val="BodyTextIndent"/>
    <w:rsid w:val="00BC7315"/>
    <w:rPr>
      <w:rFonts w:ascii="Times New Roman" w:eastAsia="Times New Roman" w:hAnsi="Times New Roman" w:cs="Times New Roman"/>
      <w:sz w:val="24"/>
      <w:szCs w:val="20"/>
    </w:rPr>
  </w:style>
  <w:style w:type="paragraph" w:styleId="BodyText">
    <w:name w:val="Body Text"/>
    <w:basedOn w:val="Normal"/>
    <w:link w:val="BodyTextChar"/>
    <w:semiHidden/>
    <w:rsid w:val="00BC7315"/>
    <w:pPr>
      <w:jc w:val="center"/>
    </w:pPr>
    <w:rPr>
      <w:rFonts w:ascii="Palatino" w:hAnsi="Palatino"/>
      <w:b/>
      <w:sz w:val="30"/>
    </w:rPr>
  </w:style>
  <w:style w:type="character" w:customStyle="1" w:styleId="BodyTextChar">
    <w:name w:val="Body Text Char"/>
    <w:basedOn w:val="DefaultParagraphFont"/>
    <w:link w:val="BodyText"/>
    <w:semiHidden/>
    <w:rsid w:val="00BC7315"/>
    <w:rPr>
      <w:rFonts w:ascii="Palatino" w:eastAsia="Times New Roman" w:hAnsi="Palatino" w:cs="Times New Roman"/>
      <w:b/>
      <w:sz w:val="30"/>
      <w:szCs w:val="20"/>
    </w:rPr>
  </w:style>
  <w:style w:type="paragraph" w:styleId="BodyTextIndent2">
    <w:name w:val="Body Text Indent 2"/>
    <w:basedOn w:val="Normal"/>
    <w:link w:val="BodyTextIndent2Char"/>
    <w:semiHidden/>
    <w:rsid w:val="00BC7315"/>
    <w:pPr>
      <w:tabs>
        <w:tab w:val="left" w:pos="720"/>
      </w:tabs>
      <w:spacing w:before="240"/>
      <w:ind w:left="1440" w:hanging="1440"/>
      <w:jc w:val="both"/>
    </w:pPr>
    <w:rPr>
      <w:sz w:val="24"/>
    </w:rPr>
  </w:style>
  <w:style w:type="character" w:customStyle="1" w:styleId="BodyTextIndent2Char">
    <w:name w:val="Body Text Indent 2 Char"/>
    <w:basedOn w:val="DefaultParagraphFont"/>
    <w:link w:val="BodyTextIndent2"/>
    <w:semiHidden/>
    <w:rsid w:val="00BC7315"/>
    <w:rPr>
      <w:rFonts w:ascii="Times New Roman" w:eastAsia="Times New Roman" w:hAnsi="Times New Roman" w:cs="Times New Roman"/>
      <w:sz w:val="24"/>
      <w:szCs w:val="20"/>
    </w:rPr>
  </w:style>
  <w:style w:type="paragraph" w:styleId="BodyText2">
    <w:name w:val="Body Text 2"/>
    <w:basedOn w:val="Normal"/>
    <w:link w:val="BodyText2Char"/>
    <w:rsid w:val="00BC7315"/>
    <w:pPr>
      <w:spacing w:before="240"/>
      <w:jc w:val="both"/>
    </w:pPr>
    <w:rPr>
      <w:sz w:val="24"/>
    </w:rPr>
  </w:style>
  <w:style w:type="character" w:customStyle="1" w:styleId="BodyText2Char">
    <w:name w:val="Body Text 2 Char"/>
    <w:basedOn w:val="DefaultParagraphFont"/>
    <w:link w:val="BodyText2"/>
    <w:rsid w:val="00BC7315"/>
    <w:rPr>
      <w:rFonts w:ascii="Times New Roman" w:eastAsia="Times New Roman" w:hAnsi="Times New Roman" w:cs="Times New Roman"/>
      <w:sz w:val="24"/>
      <w:szCs w:val="20"/>
    </w:rPr>
  </w:style>
  <w:style w:type="character" w:styleId="Hyperlink">
    <w:name w:val="Hyperlink"/>
    <w:basedOn w:val="DefaultParagraphFont"/>
    <w:rsid w:val="00BC7315"/>
    <w:rPr>
      <w:color w:val="0000FF"/>
      <w:u w:val="single"/>
    </w:rPr>
  </w:style>
  <w:style w:type="paragraph" w:styleId="BodyTextIndent3">
    <w:name w:val="Body Text Indent 3"/>
    <w:basedOn w:val="Normal"/>
    <w:link w:val="BodyTextIndent3Char"/>
    <w:uiPriority w:val="99"/>
    <w:semiHidden/>
    <w:unhideWhenUsed/>
    <w:rsid w:val="00BC73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731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C7315"/>
    <w:rPr>
      <w:rFonts w:ascii="Tahoma" w:hAnsi="Tahoma" w:cs="Tahoma"/>
      <w:sz w:val="16"/>
      <w:szCs w:val="16"/>
    </w:rPr>
  </w:style>
  <w:style w:type="character" w:customStyle="1" w:styleId="BalloonTextChar">
    <w:name w:val="Balloon Text Char"/>
    <w:basedOn w:val="DefaultParagraphFont"/>
    <w:link w:val="BalloonText"/>
    <w:uiPriority w:val="99"/>
    <w:semiHidden/>
    <w:rsid w:val="00BC73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553A"/>
    <w:rPr>
      <w:sz w:val="16"/>
      <w:szCs w:val="16"/>
    </w:rPr>
  </w:style>
  <w:style w:type="paragraph" w:styleId="CommentText">
    <w:name w:val="annotation text"/>
    <w:basedOn w:val="Normal"/>
    <w:link w:val="CommentTextChar"/>
    <w:uiPriority w:val="99"/>
    <w:semiHidden/>
    <w:unhideWhenUsed/>
    <w:rsid w:val="00D7553A"/>
  </w:style>
  <w:style w:type="character" w:customStyle="1" w:styleId="CommentTextChar">
    <w:name w:val="Comment Text Char"/>
    <w:basedOn w:val="DefaultParagraphFont"/>
    <w:link w:val="CommentText"/>
    <w:uiPriority w:val="99"/>
    <w:semiHidden/>
    <w:rsid w:val="00D75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53A"/>
    <w:rPr>
      <w:b/>
      <w:bCs/>
    </w:rPr>
  </w:style>
  <w:style w:type="character" w:customStyle="1" w:styleId="CommentSubjectChar">
    <w:name w:val="Comment Subject Char"/>
    <w:basedOn w:val="CommentTextChar"/>
    <w:link w:val="CommentSubject"/>
    <w:uiPriority w:val="99"/>
    <w:semiHidden/>
    <w:rsid w:val="00D7553A"/>
    <w:rPr>
      <w:rFonts w:ascii="Times New Roman" w:eastAsia="Times New Roman" w:hAnsi="Times New Roman" w:cs="Times New Roman"/>
      <w:b/>
      <w:bCs/>
      <w:sz w:val="20"/>
      <w:szCs w:val="20"/>
    </w:rPr>
  </w:style>
  <w:style w:type="paragraph" w:styleId="ListParagraph">
    <w:name w:val="List Paragraph"/>
    <w:basedOn w:val="Normal"/>
    <w:uiPriority w:val="34"/>
    <w:qFormat/>
    <w:rsid w:val="005A4F9B"/>
    <w:pPr>
      <w:ind w:left="720"/>
      <w:contextualSpacing/>
    </w:pPr>
  </w:style>
  <w:style w:type="character" w:customStyle="1" w:styleId="Heading2Char">
    <w:name w:val="Heading 2 Char"/>
    <w:basedOn w:val="DefaultParagraphFont"/>
    <w:link w:val="Heading2"/>
    <w:uiPriority w:val="9"/>
    <w:semiHidden/>
    <w:rsid w:val="006656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564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66564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65645"/>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665645"/>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15B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3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1">
    <w:name w:val="Heading 4 Char1"/>
    <w:basedOn w:val="DefaultParagraphFont"/>
    <w:uiPriority w:val="9"/>
    <w:semiHidden/>
    <w:rsid w:val="007266F3"/>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6D0AFC"/>
    <w:pPr>
      <w:spacing w:before="100" w:beforeAutospacing="1" w:after="100" w:afterAutospacing="1"/>
    </w:pPr>
    <w:rPr>
      <w:sz w:val="24"/>
      <w:szCs w:val="24"/>
    </w:rPr>
  </w:style>
  <w:style w:type="paragraph" w:customStyle="1" w:styleId="p">
    <w:name w:val="p"/>
    <w:basedOn w:val="Normal"/>
    <w:rsid w:val="00C777D4"/>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A0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548">
      <w:bodyDiv w:val="1"/>
      <w:marLeft w:val="0"/>
      <w:marRight w:val="0"/>
      <w:marTop w:val="0"/>
      <w:marBottom w:val="0"/>
      <w:divBdr>
        <w:top w:val="none" w:sz="0" w:space="0" w:color="auto"/>
        <w:left w:val="none" w:sz="0" w:space="0" w:color="auto"/>
        <w:bottom w:val="none" w:sz="0" w:space="0" w:color="auto"/>
        <w:right w:val="none" w:sz="0" w:space="0" w:color="auto"/>
      </w:divBdr>
    </w:div>
    <w:div w:id="747727078">
      <w:bodyDiv w:val="1"/>
      <w:marLeft w:val="0"/>
      <w:marRight w:val="0"/>
      <w:marTop w:val="0"/>
      <w:marBottom w:val="0"/>
      <w:divBdr>
        <w:top w:val="none" w:sz="0" w:space="0" w:color="auto"/>
        <w:left w:val="none" w:sz="0" w:space="0" w:color="auto"/>
        <w:bottom w:val="none" w:sz="0" w:space="0" w:color="auto"/>
        <w:right w:val="none" w:sz="0" w:space="0" w:color="auto"/>
      </w:divBdr>
    </w:div>
    <w:div w:id="764813520">
      <w:bodyDiv w:val="1"/>
      <w:marLeft w:val="0"/>
      <w:marRight w:val="0"/>
      <w:marTop w:val="0"/>
      <w:marBottom w:val="0"/>
      <w:divBdr>
        <w:top w:val="none" w:sz="0" w:space="0" w:color="auto"/>
        <w:left w:val="none" w:sz="0" w:space="0" w:color="auto"/>
        <w:bottom w:val="none" w:sz="0" w:space="0" w:color="auto"/>
        <w:right w:val="none" w:sz="0" w:space="0" w:color="auto"/>
      </w:divBdr>
    </w:div>
    <w:div w:id="873035709">
      <w:bodyDiv w:val="1"/>
      <w:marLeft w:val="0"/>
      <w:marRight w:val="0"/>
      <w:marTop w:val="0"/>
      <w:marBottom w:val="0"/>
      <w:divBdr>
        <w:top w:val="none" w:sz="0" w:space="0" w:color="auto"/>
        <w:left w:val="none" w:sz="0" w:space="0" w:color="auto"/>
        <w:bottom w:val="none" w:sz="0" w:space="0" w:color="auto"/>
        <w:right w:val="none" w:sz="0" w:space="0" w:color="auto"/>
      </w:divBdr>
    </w:div>
    <w:div w:id="934820339">
      <w:bodyDiv w:val="1"/>
      <w:marLeft w:val="0"/>
      <w:marRight w:val="0"/>
      <w:marTop w:val="0"/>
      <w:marBottom w:val="0"/>
      <w:divBdr>
        <w:top w:val="none" w:sz="0" w:space="0" w:color="auto"/>
        <w:left w:val="none" w:sz="0" w:space="0" w:color="auto"/>
        <w:bottom w:val="none" w:sz="0" w:space="0" w:color="auto"/>
        <w:right w:val="none" w:sz="0" w:space="0" w:color="auto"/>
      </w:divBdr>
    </w:div>
    <w:div w:id="20182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miller\AppData\Local\Microsoft\Windows\Documents%20and%20Settings\CHolloway\Local%20Settings\Temporary%20Internet%20Files\Content.Outlook\Local%20Settings\Temporary%20Internet%20Files\Content.Outlook\UYMA8P3Z\www.thd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overywithinreach.org/housingwithinreac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rojects.ncsu.edu/ncsu/design/cud/pubs_p/docs/UDinHousing.pdf" TargetMode="External"/><Relationship Id="rId4" Type="http://schemas.openxmlformats.org/officeDocument/2006/relationships/webSettings" Target="webSettings.xml"/><Relationship Id="rId9" Type="http://schemas.openxmlformats.org/officeDocument/2006/relationships/hyperlink" Target="http://www.visitability.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6125</Words>
  <Characters>34914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Coralee Holloway</dc:creator>
  <cp:lastModifiedBy>RAgee</cp:lastModifiedBy>
  <cp:revision>2</cp:revision>
  <cp:lastPrinted>2020-01-15T15:34:00Z</cp:lastPrinted>
  <dcterms:created xsi:type="dcterms:W3CDTF">2020-06-03T20:23:00Z</dcterms:created>
  <dcterms:modified xsi:type="dcterms:W3CDTF">2020-06-03T20:23:00Z</dcterms:modified>
</cp:coreProperties>
</file>